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65" w:rsidRDefault="00AD0E65" w:rsidP="00482C46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Výzva na predkladanie ponúk</w:t>
      </w:r>
    </w:p>
    <w:p w:rsidR="00AD0E65" w:rsidRDefault="00AD0E65" w:rsidP="00AD0E65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dstrike/>
          <w:color w:val="000000"/>
          <w:sz w:val="24"/>
          <w:szCs w:val="24"/>
        </w:rPr>
      </w:pPr>
    </w:p>
    <w:p w:rsidR="00AD0E65" w:rsidRDefault="009B2C0F" w:rsidP="00AD0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sk-SK"/>
        </w:rPr>
      </w:pPr>
      <w:r>
        <w:rPr>
          <w:rFonts w:ascii="Times New Roman" w:eastAsiaTheme="minorHAnsi" w:hAnsi="Times New Roman"/>
          <w:bCs/>
          <w:sz w:val="20"/>
          <w:szCs w:val="20"/>
          <w:lang w:eastAsia="sk-SK"/>
        </w:rPr>
        <w:t>pre zákazku podľa prílohy č.1</w:t>
      </w:r>
      <w:r w:rsidR="00AD0E65">
        <w:rPr>
          <w:rFonts w:ascii="Times New Roman" w:eastAsiaTheme="minorHAnsi" w:hAnsi="Times New Roman"/>
          <w:sz w:val="20"/>
          <w:szCs w:val="20"/>
          <w:lang w:eastAsia="sk-SK"/>
        </w:rPr>
        <w:t xml:space="preserve"> zákona č. 343/2015 Z. z. o verejnom obstarávaní</w:t>
      </w:r>
    </w:p>
    <w:p w:rsidR="00AD0E65" w:rsidRDefault="00AD0E65" w:rsidP="00AD0E65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dstrike/>
          <w:color w:val="000000"/>
          <w:sz w:val="24"/>
          <w:szCs w:val="24"/>
        </w:rPr>
      </w:pPr>
      <w:r>
        <w:rPr>
          <w:rFonts w:ascii="Times New Roman" w:eastAsiaTheme="minorHAnsi" w:hAnsi="Times New Roman" w:cs="Arial"/>
          <w:color w:val="000000"/>
          <w:sz w:val="20"/>
          <w:szCs w:val="20"/>
          <w:lang w:eastAsia="sk-SK"/>
        </w:rPr>
        <w:t xml:space="preserve">a o zmene a doplnení niektorých zákonov v znení neskorších predpisov (ďalej len „zákon o verejnom obstarávaní“) </w:t>
      </w:r>
    </w:p>
    <w:p w:rsidR="00AD0E65" w:rsidRDefault="00AD0E65" w:rsidP="00AD0E65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D0E65" w:rsidRDefault="00AD0E65" w:rsidP="00AD0E65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1. Verejný obstarávateľ </w:t>
      </w:r>
    </w:p>
    <w:p w:rsidR="00AD0E65" w:rsidRDefault="00AD0E65" w:rsidP="00AD0E65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Úrad podpredsedu vlády SR pre investície a informatizáciu</w:t>
      </w:r>
    </w:p>
    <w:p w:rsidR="00AD0E65" w:rsidRDefault="00AD0E65" w:rsidP="00AD0E65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Štefánikova 15 </w:t>
      </w:r>
    </w:p>
    <w:p w:rsidR="00AD0E65" w:rsidRDefault="00AD0E65" w:rsidP="00AD0E65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811 05 Bratislava</w:t>
      </w:r>
    </w:p>
    <w:p w:rsidR="00AD0E65" w:rsidRDefault="00AD0E65" w:rsidP="00AD0E65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IČO 50349287</w:t>
      </w:r>
    </w:p>
    <w:p w:rsidR="00AD0E65" w:rsidRDefault="009B2C0F" w:rsidP="00AD0E65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Kontaktná osoba: Andrea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Halázsová</w:t>
      </w:r>
      <w:proofErr w:type="spellEnd"/>
    </w:p>
    <w:p w:rsidR="00AD0E65" w:rsidRDefault="009B2C0F" w:rsidP="00AD0E65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tel. č.: 02/2092 8132</w:t>
      </w:r>
    </w:p>
    <w:p w:rsidR="00AD0E65" w:rsidRDefault="00AD0E65" w:rsidP="00AD0E65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e-mail: </w:t>
      </w:r>
      <w:hyperlink r:id="rId6" w:history="1">
        <w:r w:rsidR="009B2C0F" w:rsidRPr="00245094">
          <w:rPr>
            <w:rStyle w:val="Hypertextovprepojenie"/>
            <w:rFonts w:ascii="Times New Roman" w:eastAsiaTheme="minorHAnsi" w:hAnsi="Times New Roman"/>
            <w:sz w:val="24"/>
            <w:szCs w:val="24"/>
          </w:rPr>
          <w:t>andrea.halazsova@vicepremier.gov.sk</w:t>
        </w:r>
      </w:hyperlink>
      <w:r w:rsidR="000A64E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AD0E65" w:rsidRDefault="00AD0E65" w:rsidP="00AD0E65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adresa hlavnej stránky verejného obstarávateľa /URL/: </w:t>
      </w:r>
      <w:hyperlink r:id="rId7" w:history="1">
        <w:r>
          <w:rPr>
            <w:rStyle w:val="Hypertextovprepojenie"/>
            <w:rFonts w:ascii="Times New Roman" w:eastAsiaTheme="minorHAnsi" w:hAnsi="Times New Roman"/>
            <w:sz w:val="24"/>
            <w:szCs w:val="24"/>
          </w:rPr>
          <w:t>https://www.vicepremier.gov.sk/</w:t>
        </w:r>
      </w:hyperlink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AD0E65" w:rsidRDefault="00AD0E65" w:rsidP="00AD0E65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D0E65" w:rsidRDefault="00AD0E65" w:rsidP="00AD0E65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2. Zatriedenie obstarávacieho subjektu podľa zákona: </w:t>
      </w:r>
    </w:p>
    <w:p w:rsidR="00AD0E65" w:rsidRDefault="00AD0E65" w:rsidP="00AD0E65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Verejný obstarávateľ podľa § 7 ods. 1 písm. a) zákona o verejnom obstarávaní. </w:t>
      </w:r>
    </w:p>
    <w:p w:rsidR="00AD0E65" w:rsidRDefault="00AD0E65" w:rsidP="00AD0E65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D0E65" w:rsidRDefault="00AD0E65" w:rsidP="00AD0E65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3. Názov zákazky podľa verejného obstarávateľa </w:t>
      </w:r>
    </w:p>
    <w:p w:rsidR="00AD0E65" w:rsidRDefault="009B2C0F" w:rsidP="00AD0E65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9B2C0F">
        <w:rPr>
          <w:rFonts w:ascii="Times New Roman" w:eastAsiaTheme="minorHAnsi" w:hAnsi="Times New Roman"/>
          <w:color w:val="000000"/>
          <w:sz w:val="24"/>
          <w:szCs w:val="24"/>
        </w:rPr>
        <w:t xml:space="preserve">Školenie „ Implementácia EŠIF v programovom období 2014-2020“ </w:t>
      </w:r>
      <w:r w:rsidR="007B09C8">
        <w:rPr>
          <w:rFonts w:ascii="Times New Roman" w:eastAsiaTheme="minorHAnsi" w:hAnsi="Times New Roman"/>
          <w:color w:val="000000"/>
          <w:sz w:val="24"/>
          <w:szCs w:val="24"/>
        </w:rPr>
        <w:t xml:space="preserve">v dňoch </w:t>
      </w:r>
      <w:r w:rsidRPr="009B2C0F">
        <w:rPr>
          <w:rFonts w:ascii="Times New Roman" w:eastAsiaTheme="minorHAnsi" w:hAnsi="Times New Roman"/>
          <w:color w:val="000000"/>
          <w:sz w:val="24"/>
          <w:szCs w:val="24"/>
        </w:rPr>
        <w:t>27</w:t>
      </w:r>
      <w:r w:rsidR="007B09C8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Pr="009B2C0F">
        <w:rPr>
          <w:rFonts w:ascii="Times New Roman" w:eastAsiaTheme="minorHAnsi" w:hAnsi="Times New Roman"/>
          <w:color w:val="000000"/>
          <w:sz w:val="24"/>
          <w:szCs w:val="24"/>
        </w:rPr>
        <w:t>-28.6.2017</w:t>
      </w:r>
    </w:p>
    <w:p w:rsidR="009B2C0F" w:rsidRDefault="009B2C0F" w:rsidP="00AD0E65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AD0E65" w:rsidRDefault="00AD0E65" w:rsidP="00AD0E65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4. Druh zákazky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(tovary/</w:t>
      </w:r>
      <w:r w:rsidRPr="001F495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služby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/stavebné práce)</w:t>
      </w:r>
    </w:p>
    <w:p w:rsidR="00AD0E65" w:rsidRDefault="00AD0E65" w:rsidP="00AD0E65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Služby </w:t>
      </w:r>
    </w:p>
    <w:p w:rsidR="00AD0E65" w:rsidRDefault="00AD0E65" w:rsidP="00AD0E65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AD0E65" w:rsidRDefault="00AD0E65" w:rsidP="00AD0E65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5. Hlavné miesto </w:t>
      </w:r>
      <w:r>
        <w:rPr>
          <w:rFonts w:ascii="Times New Roman" w:eastAsiaTheme="minorHAnsi" w:hAnsi="Times New Roman"/>
          <w:color w:val="000000"/>
          <w:sz w:val="24"/>
          <w:szCs w:val="24"/>
        </w:rPr>
        <w:t>dodania tovaru/</w:t>
      </w:r>
      <w:r w:rsidRPr="009B2C0F">
        <w:rPr>
          <w:rFonts w:ascii="Times New Roman" w:eastAsiaTheme="minorHAnsi" w:hAnsi="Times New Roman"/>
          <w:b/>
          <w:color w:val="000000"/>
          <w:sz w:val="24"/>
          <w:szCs w:val="24"/>
        </w:rPr>
        <w:t>poskytnutia služieb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/uskutočnenia stavebných prác: </w:t>
      </w:r>
    </w:p>
    <w:p w:rsidR="00983BCB" w:rsidRDefault="00983BCB" w:rsidP="00AD0E65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AD0E65" w:rsidRDefault="007B09C8" w:rsidP="00AD0E65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Bratislavský alebo Trnavský alebo</w:t>
      </w:r>
      <w:r w:rsidR="009B2C0F">
        <w:rPr>
          <w:rFonts w:ascii="Times New Roman" w:eastAsiaTheme="minorHAnsi" w:hAnsi="Times New Roman"/>
          <w:color w:val="000000"/>
          <w:sz w:val="24"/>
          <w:szCs w:val="24"/>
        </w:rPr>
        <w:t> Trenčiansky samosprávny kraj</w:t>
      </w:r>
    </w:p>
    <w:p w:rsidR="00AD0E65" w:rsidRDefault="00AD0E65" w:rsidP="00AD0E65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D0E65" w:rsidRDefault="00AD0E65" w:rsidP="00AD0E65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6. Výsledok verejného obstarávania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(typ zmluvy, trvanie zmluvy)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:</w:t>
      </w:r>
    </w:p>
    <w:p w:rsidR="00AD0E65" w:rsidRDefault="006631DE" w:rsidP="00AD0E65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Zmluva </w:t>
      </w:r>
      <w:r w:rsidR="000A64E7">
        <w:rPr>
          <w:rFonts w:ascii="Times New Roman" w:eastAsiaTheme="minorHAnsi" w:hAnsi="Times New Roman"/>
          <w:color w:val="000000"/>
          <w:sz w:val="24"/>
          <w:szCs w:val="24"/>
        </w:rPr>
        <w:t xml:space="preserve">o poskytnutí služieb </w:t>
      </w:r>
      <w:r w:rsidR="000A64E7" w:rsidRPr="000A64E7">
        <w:rPr>
          <w:rFonts w:ascii="Times New Roman" w:eastAsiaTheme="minorHAnsi" w:hAnsi="Times New Roman"/>
          <w:color w:val="000000"/>
          <w:sz w:val="24"/>
          <w:szCs w:val="24"/>
        </w:rPr>
        <w:t>podľa § 269 ods. 2 zákona č.</w:t>
      </w:r>
      <w:r w:rsidR="009B2C0F">
        <w:rPr>
          <w:rFonts w:ascii="Times New Roman" w:eastAsiaTheme="minorHAnsi" w:hAnsi="Times New Roman"/>
          <w:color w:val="000000"/>
          <w:sz w:val="24"/>
          <w:szCs w:val="24"/>
        </w:rPr>
        <w:t xml:space="preserve"> 513/1991 Zb. Obchodný zákonník </w:t>
      </w:r>
      <w:r w:rsidR="000A64E7" w:rsidRPr="000A64E7">
        <w:rPr>
          <w:rFonts w:ascii="Times New Roman" w:eastAsiaTheme="minorHAnsi" w:hAnsi="Times New Roman"/>
          <w:color w:val="000000"/>
          <w:sz w:val="24"/>
          <w:szCs w:val="24"/>
        </w:rPr>
        <w:t>v znení neskorších predpisov</w:t>
      </w:r>
      <w:r w:rsidR="000A64E7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AD0E65" w:rsidRDefault="00AD0E65" w:rsidP="00AD0E65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AD0E65" w:rsidRDefault="00AD0E65" w:rsidP="00AD0E65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7. Stručný opis zákazky:</w:t>
      </w:r>
    </w:p>
    <w:p w:rsidR="00AD0E65" w:rsidRDefault="009B2C0F" w:rsidP="00AD0E65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B2C0F">
        <w:rPr>
          <w:rFonts w:ascii="Times New Roman" w:eastAsiaTheme="minorHAnsi" w:hAnsi="Times New Roman" w:cs="Arial"/>
          <w:color w:val="000000"/>
          <w:sz w:val="24"/>
          <w:szCs w:val="24"/>
          <w:lang w:eastAsia="sk-SK"/>
        </w:rPr>
        <w:t>Školenie bude zamerané na zvyšovanie kvalifikácie, praktických zručností a vedomost</w:t>
      </w:r>
      <w:r w:rsidR="007B09C8">
        <w:rPr>
          <w:rFonts w:ascii="Times New Roman" w:eastAsiaTheme="minorHAnsi" w:hAnsi="Times New Roman" w:cs="Arial"/>
          <w:color w:val="000000"/>
          <w:sz w:val="24"/>
          <w:szCs w:val="24"/>
          <w:lang w:eastAsia="sk-SK"/>
        </w:rPr>
        <w:t>í</w:t>
      </w:r>
      <w:r w:rsidRPr="009B2C0F">
        <w:rPr>
          <w:rFonts w:ascii="Times New Roman" w:eastAsiaTheme="minorHAnsi" w:hAnsi="Times New Roman" w:cs="Arial"/>
          <w:color w:val="000000"/>
          <w:sz w:val="24"/>
          <w:szCs w:val="24"/>
          <w:lang w:eastAsia="sk-SK"/>
        </w:rPr>
        <w:t xml:space="preserve"> oprávnených administratívnych kapacít Centrálneho koordinačného orgánu zapojených do riadenia, kontroly a auditu EŠIF, tiež zamestnancov oprávnených administratívnych kapacít</w:t>
      </w:r>
      <w:r w:rsidR="007B09C8">
        <w:rPr>
          <w:rFonts w:ascii="Times New Roman" w:eastAsiaTheme="minorHAnsi" w:hAnsi="Times New Roman" w:cs="Arial"/>
          <w:color w:val="000000"/>
          <w:sz w:val="24"/>
          <w:szCs w:val="24"/>
          <w:lang w:eastAsia="sk-SK"/>
        </w:rPr>
        <w:t xml:space="preserve"> sekcie riadenia informatizácie </w:t>
      </w:r>
      <w:r w:rsidRPr="009B2C0F">
        <w:rPr>
          <w:rFonts w:ascii="Times New Roman" w:eastAsiaTheme="minorHAnsi" w:hAnsi="Times New Roman" w:cs="Arial"/>
          <w:color w:val="000000"/>
          <w:sz w:val="24"/>
          <w:szCs w:val="24"/>
          <w:lang w:eastAsia="sk-SK"/>
        </w:rPr>
        <w:t xml:space="preserve"> </w:t>
      </w:r>
      <w:r w:rsidR="007B09C8">
        <w:rPr>
          <w:rFonts w:ascii="Times New Roman" w:eastAsiaTheme="minorHAnsi" w:hAnsi="Times New Roman" w:cs="Arial"/>
          <w:color w:val="000000"/>
          <w:sz w:val="24"/>
          <w:szCs w:val="24"/>
          <w:lang w:eastAsia="sk-SK"/>
        </w:rPr>
        <w:t>v rámci Operačného</w:t>
      </w:r>
      <w:r w:rsidRPr="009B2C0F">
        <w:rPr>
          <w:rFonts w:ascii="Times New Roman" w:eastAsiaTheme="minorHAnsi" w:hAnsi="Times New Roman" w:cs="Arial"/>
          <w:color w:val="000000"/>
          <w:sz w:val="24"/>
          <w:szCs w:val="24"/>
          <w:lang w:eastAsia="sk-SK"/>
        </w:rPr>
        <w:t xml:space="preserve"> prog</w:t>
      </w:r>
      <w:r w:rsidR="007B09C8">
        <w:rPr>
          <w:rFonts w:ascii="Times New Roman" w:eastAsiaTheme="minorHAnsi" w:hAnsi="Times New Roman" w:cs="Arial"/>
          <w:color w:val="000000"/>
          <w:sz w:val="24"/>
          <w:szCs w:val="24"/>
          <w:lang w:eastAsia="sk-SK"/>
        </w:rPr>
        <w:t xml:space="preserve">ramu </w:t>
      </w:r>
      <w:r>
        <w:rPr>
          <w:rFonts w:ascii="Times New Roman" w:eastAsiaTheme="minorHAnsi" w:hAnsi="Times New Roman" w:cs="Arial"/>
          <w:color w:val="000000"/>
          <w:sz w:val="24"/>
          <w:szCs w:val="24"/>
          <w:lang w:eastAsia="sk-SK"/>
        </w:rPr>
        <w:t>integrovaná infraštruktúra.</w:t>
      </w:r>
      <w:r w:rsidRPr="009B2C0F">
        <w:rPr>
          <w:rFonts w:ascii="Times New Roman" w:eastAsiaTheme="minorHAnsi" w:hAnsi="Times New Roman" w:cs="Arial"/>
          <w:color w:val="000000"/>
          <w:sz w:val="24"/>
          <w:szCs w:val="24"/>
          <w:lang w:eastAsia="sk-SK"/>
        </w:rPr>
        <w:t xml:space="preserve"> Pripravenosť AK CKO a AK OPII na programové obdobie 2014-2020 sa uskutočňuje prostredníctvom realizácie systematického odborného vzdelávania, ktoré priebežne umožňuje zdokonaľovať a dopĺňať požadované vedomosti a</w:t>
      </w:r>
      <w:r w:rsidR="007B09C8">
        <w:rPr>
          <w:rFonts w:ascii="Times New Roman" w:eastAsiaTheme="minorHAnsi" w:hAnsi="Times New Roman" w:cs="Arial"/>
          <w:color w:val="000000"/>
          <w:sz w:val="24"/>
          <w:szCs w:val="24"/>
          <w:lang w:eastAsia="sk-SK"/>
        </w:rPr>
        <w:t> </w:t>
      </w:r>
      <w:r w:rsidRPr="009B2C0F">
        <w:rPr>
          <w:rFonts w:ascii="Times New Roman" w:eastAsiaTheme="minorHAnsi" w:hAnsi="Times New Roman" w:cs="Arial"/>
          <w:color w:val="000000"/>
          <w:sz w:val="24"/>
          <w:szCs w:val="24"/>
          <w:lang w:eastAsia="sk-SK"/>
        </w:rPr>
        <w:t>schopnosti</w:t>
      </w:r>
      <w:r w:rsidR="007B09C8">
        <w:rPr>
          <w:rFonts w:ascii="Times New Roman" w:eastAsiaTheme="minorHAnsi" w:hAnsi="Times New Roman" w:cs="Arial"/>
          <w:color w:val="000000"/>
          <w:sz w:val="24"/>
          <w:szCs w:val="24"/>
          <w:lang w:eastAsia="sk-SK"/>
        </w:rPr>
        <w:t>,</w:t>
      </w:r>
      <w:r w:rsidRPr="009B2C0F">
        <w:rPr>
          <w:rFonts w:ascii="Times New Roman" w:eastAsiaTheme="minorHAnsi" w:hAnsi="Times New Roman" w:cs="Arial"/>
          <w:color w:val="000000"/>
          <w:sz w:val="24"/>
          <w:szCs w:val="24"/>
          <w:lang w:eastAsia="sk-SK"/>
        </w:rPr>
        <w:t xml:space="preserve"> ako aj možnosť zvýš</w:t>
      </w:r>
      <w:r w:rsidR="007B09C8">
        <w:rPr>
          <w:rFonts w:ascii="Times New Roman" w:eastAsiaTheme="minorHAnsi" w:hAnsi="Times New Roman" w:cs="Arial"/>
          <w:color w:val="000000"/>
          <w:sz w:val="24"/>
          <w:szCs w:val="24"/>
          <w:lang w:eastAsia="sk-SK"/>
        </w:rPr>
        <w:t>iť jednotlivým zamestnancom CKO a sekcie riadenia informatizácie v rámci</w:t>
      </w:r>
      <w:r w:rsidRPr="009B2C0F">
        <w:rPr>
          <w:rFonts w:ascii="Times New Roman" w:eastAsiaTheme="minorHAnsi" w:hAnsi="Times New Roman" w:cs="Arial"/>
          <w:color w:val="000000"/>
          <w:sz w:val="24"/>
          <w:szCs w:val="24"/>
          <w:lang w:eastAsia="sk-SK"/>
        </w:rPr>
        <w:t xml:space="preserve"> OPII, Úradu podpredsedu vlády pre investície a informatizáciu, ich manažérske zručnosti.</w:t>
      </w:r>
    </w:p>
    <w:p w:rsidR="00AD0E65" w:rsidRDefault="00AD0E65" w:rsidP="00AD0E65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D0E65" w:rsidRDefault="00AD0E65" w:rsidP="00AD0E65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8. Spoločný slovník obstarávania:</w:t>
      </w:r>
    </w:p>
    <w:p w:rsidR="00ED7F8B" w:rsidRDefault="009B2C0F" w:rsidP="00AD0E65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9B2C0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79952000 – 2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9B2C0F">
        <w:rPr>
          <w:rFonts w:ascii="Times New Roman" w:eastAsiaTheme="minorHAnsi" w:hAnsi="Times New Roman"/>
          <w:bCs/>
          <w:color w:val="000000"/>
          <w:sz w:val="24"/>
          <w:szCs w:val="24"/>
        </w:rPr>
        <w:t>Služby na organizovanie podujatí</w:t>
      </w:r>
    </w:p>
    <w:p w:rsidR="007B09C8" w:rsidRPr="009B2C0F" w:rsidRDefault="007B09C8" w:rsidP="00AD0E65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AD0E65" w:rsidRDefault="007B09C8" w:rsidP="00AD0E65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9</w:t>
      </w:r>
      <w:r w:rsidR="00AD0E65" w:rsidRPr="00983DC6">
        <w:rPr>
          <w:rFonts w:ascii="Times New Roman" w:eastAsiaTheme="minorHAnsi" w:hAnsi="Times New Roman"/>
          <w:b/>
          <w:bCs/>
          <w:sz w:val="24"/>
          <w:szCs w:val="24"/>
        </w:rPr>
        <w:t xml:space="preserve">. Celkový rozsah predmetu zákazky: </w:t>
      </w:r>
    </w:p>
    <w:p w:rsidR="009B2C0F" w:rsidRDefault="009B2C0F" w:rsidP="00482C46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Lehota plnenia: </w:t>
      </w:r>
      <w:r w:rsidR="007B09C8">
        <w:rPr>
          <w:rFonts w:ascii="Times New Roman" w:eastAsiaTheme="minorHAnsi" w:hAnsi="Times New Roman"/>
          <w:bCs/>
          <w:sz w:val="24"/>
          <w:szCs w:val="24"/>
        </w:rPr>
        <w:t xml:space="preserve">školenie sa uskutoční v dňoch </w:t>
      </w:r>
      <w:r w:rsidRPr="009B2C0F">
        <w:rPr>
          <w:rFonts w:ascii="Times New Roman" w:eastAsiaTheme="minorHAnsi" w:hAnsi="Times New Roman"/>
          <w:bCs/>
          <w:sz w:val="24"/>
          <w:szCs w:val="24"/>
        </w:rPr>
        <w:t>27.-28.6.2017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. Podrobný rozsah plnenia </w:t>
      </w:r>
      <w:r w:rsidR="007B09C8">
        <w:rPr>
          <w:rFonts w:ascii="Times New Roman" w:eastAsiaTheme="minorHAnsi" w:hAnsi="Times New Roman"/>
          <w:bCs/>
          <w:sz w:val="24"/>
          <w:szCs w:val="24"/>
        </w:rPr>
        <w:t xml:space="preserve">                 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vo formáte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položkovitého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rozpočtu je prílohou č. 1 tejto výzvy. Príloha č. 1 tvorí neoddeliteľnú súčasť tejto výzvy.</w:t>
      </w:r>
    </w:p>
    <w:p w:rsidR="009B2C0F" w:rsidRPr="009B2C0F" w:rsidRDefault="009B2C0F" w:rsidP="002F3BA5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9B2C0F">
        <w:rPr>
          <w:rFonts w:ascii="Times New Roman" w:eastAsiaTheme="minorHAnsi" w:hAnsi="Times New Roman"/>
          <w:bCs/>
          <w:sz w:val="24"/>
          <w:szCs w:val="24"/>
        </w:rPr>
        <w:lastRenderedPageBreak/>
        <w:t>Funkčná špecifikácia predmetu</w:t>
      </w:r>
    </w:p>
    <w:p w:rsidR="002F3BA5" w:rsidRPr="002F3BA5" w:rsidRDefault="009B2C0F" w:rsidP="002F3BA5">
      <w:pPr>
        <w:pStyle w:val="Odsekzoznamu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F3BA5">
        <w:rPr>
          <w:rFonts w:ascii="Times New Roman" w:hAnsi="Times New Roman"/>
          <w:bCs/>
          <w:sz w:val="24"/>
          <w:szCs w:val="24"/>
        </w:rPr>
        <w:t>Organizačno</w:t>
      </w:r>
      <w:proofErr w:type="spellEnd"/>
      <w:r w:rsidRPr="002F3BA5">
        <w:rPr>
          <w:rFonts w:ascii="Times New Roman" w:hAnsi="Times New Roman"/>
          <w:bCs/>
          <w:sz w:val="24"/>
          <w:szCs w:val="24"/>
        </w:rPr>
        <w:t xml:space="preserve"> – technické zabezpečenie alebo poskytnutie služieb spojených </w:t>
      </w:r>
      <w:r w:rsidR="007B09C8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2F3BA5">
        <w:rPr>
          <w:rFonts w:ascii="Times New Roman" w:hAnsi="Times New Roman"/>
          <w:bCs/>
          <w:sz w:val="24"/>
          <w:szCs w:val="24"/>
        </w:rPr>
        <w:t>so zabezpečením školenia, ktoré sa uskutoční v termíne 27.6.-28.6.2017 v hoteli min 4**** kategórie v krajoch: Brati</w:t>
      </w:r>
      <w:r w:rsidR="007B09C8">
        <w:rPr>
          <w:rFonts w:ascii="Times New Roman" w:hAnsi="Times New Roman"/>
          <w:bCs/>
          <w:sz w:val="24"/>
          <w:szCs w:val="24"/>
        </w:rPr>
        <w:t>slavský alebo Trnavský alebo Trenčiansky samosprávny kraj</w:t>
      </w:r>
      <w:r w:rsidR="002F3BA5" w:rsidRPr="002F3BA5">
        <w:rPr>
          <w:rFonts w:ascii="Times New Roman" w:hAnsi="Times New Roman"/>
          <w:bCs/>
          <w:sz w:val="24"/>
          <w:szCs w:val="24"/>
        </w:rPr>
        <w:t xml:space="preserve"> </w:t>
      </w:r>
    </w:p>
    <w:p w:rsidR="009B2C0F" w:rsidRPr="002F3BA5" w:rsidRDefault="009B2C0F" w:rsidP="002F3BA5">
      <w:pPr>
        <w:pStyle w:val="Odsekzoznamu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bCs/>
          <w:sz w:val="24"/>
          <w:szCs w:val="24"/>
        </w:rPr>
      </w:pPr>
      <w:r w:rsidRPr="002F3BA5">
        <w:rPr>
          <w:rFonts w:ascii="Times New Roman" w:hAnsi="Times New Roman"/>
          <w:bCs/>
          <w:sz w:val="24"/>
          <w:szCs w:val="24"/>
        </w:rPr>
        <w:t>Školenia sa zúčastní celkovo 200 účastníkov</w:t>
      </w:r>
    </w:p>
    <w:p w:rsidR="009B2C0F" w:rsidRPr="002F3BA5" w:rsidRDefault="009B2C0F" w:rsidP="002F3BA5">
      <w:pPr>
        <w:pStyle w:val="Odsekzoznamu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bCs/>
          <w:sz w:val="24"/>
          <w:szCs w:val="24"/>
        </w:rPr>
      </w:pPr>
      <w:r w:rsidRPr="002F3BA5">
        <w:rPr>
          <w:rFonts w:ascii="Times New Roman" w:hAnsi="Times New Roman"/>
          <w:bCs/>
          <w:sz w:val="24"/>
          <w:szCs w:val="24"/>
        </w:rPr>
        <w:t>Ubytovacie zariadenie: hotel min. 4**** kategórie</w:t>
      </w:r>
    </w:p>
    <w:p w:rsidR="009B2C0F" w:rsidRPr="002F3BA5" w:rsidRDefault="009B2C0F" w:rsidP="002F3BA5">
      <w:pPr>
        <w:pStyle w:val="Odsekzoznamu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bCs/>
          <w:sz w:val="24"/>
          <w:szCs w:val="24"/>
        </w:rPr>
      </w:pPr>
      <w:r w:rsidRPr="002F3BA5">
        <w:rPr>
          <w:rFonts w:ascii="Times New Roman" w:hAnsi="Times New Roman"/>
          <w:bCs/>
          <w:sz w:val="24"/>
          <w:szCs w:val="24"/>
        </w:rPr>
        <w:t>Ubytovacie zariadenie musí disponovať konferenčnými priestormi s kapacitou pre 200 účastníkov</w:t>
      </w:r>
    </w:p>
    <w:p w:rsidR="009B2C0F" w:rsidRPr="002F3BA5" w:rsidRDefault="009B2C0F" w:rsidP="002F3BA5">
      <w:pPr>
        <w:pStyle w:val="Odsekzoznamu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bCs/>
          <w:sz w:val="24"/>
          <w:szCs w:val="24"/>
        </w:rPr>
      </w:pPr>
      <w:r w:rsidRPr="002F3BA5">
        <w:rPr>
          <w:rFonts w:ascii="Times New Roman" w:hAnsi="Times New Roman"/>
          <w:bCs/>
          <w:sz w:val="24"/>
          <w:szCs w:val="24"/>
        </w:rPr>
        <w:t>Ubytovanie sa musí nachádzať v jednom objekte pre všetkých účastníkov</w:t>
      </w:r>
    </w:p>
    <w:p w:rsidR="009B2C0F" w:rsidRPr="002F3BA5" w:rsidRDefault="009B2C0F" w:rsidP="002F3BA5">
      <w:pPr>
        <w:pStyle w:val="Odsekzoznamu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bCs/>
          <w:sz w:val="24"/>
          <w:szCs w:val="24"/>
        </w:rPr>
      </w:pPr>
      <w:r w:rsidRPr="002F3BA5">
        <w:rPr>
          <w:rFonts w:ascii="Times New Roman" w:hAnsi="Times New Roman"/>
          <w:bCs/>
          <w:sz w:val="24"/>
          <w:szCs w:val="24"/>
        </w:rPr>
        <w:t xml:space="preserve">Konferenčná miestnosť sa musí nachádzať priamo v hoteli </w:t>
      </w:r>
    </w:p>
    <w:p w:rsidR="009B2C0F" w:rsidRPr="002F3BA5" w:rsidRDefault="009B2C0F" w:rsidP="002F3BA5">
      <w:pPr>
        <w:pStyle w:val="Odsekzoznamu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bCs/>
          <w:sz w:val="24"/>
          <w:szCs w:val="24"/>
        </w:rPr>
      </w:pPr>
      <w:r w:rsidRPr="002F3BA5">
        <w:rPr>
          <w:rFonts w:ascii="Times New Roman" w:hAnsi="Times New Roman"/>
          <w:bCs/>
          <w:sz w:val="24"/>
          <w:szCs w:val="24"/>
        </w:rPr>
        <w:t>Konferenčná miestnosť sa musí nachádzať mimo jedálenského priestoru</w:t>
      </w:r>
    </w:p>
    <w:p w:rsidR="009B2C0F" w:rsidRPr="002F3BA5" w:rsidRDefault="009B2C0F" w:rsidP="002F3BA5">
      <w:pPr>
        <w:pStyle w:val="Odsekzoznamu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bCs/>
          <w:sz w:val="24"/>
          <w:szCs w:val="24"/>
        </w:rPr>
      </w:pPr>
      <w:r w:rsidRPr="002F3BA5">
        <w:rPr>
          <w:rFonts w:ascii="Times New Roman" w:hAnsi="Times New Roman"/>
          <w:bCs/>
          <w:sz w:val="24"/>
          <w:szCs w:val="24"/>
        </w:rPr>
        <w:t xml:space="preserve">Jedna konferenčná miestnosť musí spĺňať kapacitu min. 200 ľudí,  a ďalšia konferenčná miestnosť s kapacitou min. 90 ľudí </w:t>
      </w:r>
    </w:p>
    <w:p w:rsidR="009B2C0F" w:rsidRPr="002F3BA5" w:rsidRDefault="009B2C0F" w:rsidP="002F3BA5">
      <w:pPr>
        <w:pStyle w:val="Odsekzoznamu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bCs/>
          <w:sz w:val="24"/>
          <w:szCs w:val="24"/>
        </w:rPr>
      </w:pPr>
      <w:r w:rsidRPr="002F3BA5">
        <w:rPr>
          <w:rFonts w:ascii="Times New Roman" w:hAnsi="Times New Roman"/>
          <w:bCs/>
          <w:sz w:val="24"/>
          <w:szCs w:val="24"/>
        </w:rPr>
        <w:t>Hotel musí disponovať reštauračným, alebo ekvivalentným reprezentatívnym priestorom, slúžiacim na poskytovanie občerstv</w:t>
      </w:r>
      <w:r w:rsidR="002F3BA5" w:rsidRPr="002F3BA5">
        <w:rPr>
          <w:rFonts w:ascii="Times New Roman" w:hAnsi="Times New Roman"/>
          <w:bCs/>
          <w:sz w:val="24"/>
          <w:szCs w:val="24"/>
        </w:rPr>
        <w:t xml:space="preserve">enia, raňajok, obeda a večere. </w:t>
      </w:r>
      <w:r w:rsidRPr="002F3BA5">
        <w:rPr>
          <w:rFonts w:ascii="Times New Roman" w:hAnsi="Times New Roman"/>
          <w:bCs/>
          <w:sz w:val="24"/>
          <w:szCs w:val="24"/>
        </w:rPr>
        <w:t xml:space="preserve">       Reštauračné alebo ekvivalentné reprezentatívne priestory sa musia nachádzať priamo v priestoroch hotela</w:t>
      </w:r>
    </w:p>
    <w:p w:rsidR="009B2C0F" w:rsidRDefault="009B2C0F" w:rsidP="002F3BA5">
      <w:pPr>
        <w:pStyle w:val="Odsekzoznamu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bCs/>
          <w:sz w:val="24"/>
          <w:szCs w:val="24"/>
        </w:rPr>
      </w:pPr>
      <w:r w:rsidRPr="002F3BA5">
        <w:rPr>
          <w:rFonts w:ascii="Times New Roman" w:hAnsi="Times New Roman"/>
          <w:bCs/>
          <w:sz w:val="24"/>
          <w:szCs w:val="24"/>
        </w:rPr>
        <w:t>Hotel musí disponovať parkoviskom pre minimálne 30 áut, priamo v areáli hotela</w:t>
      </w:r>
    </w:p>
    <w:p w:rsidR="002F3BA5" w:rsidRPr="002F3BA5" w:rsidRDefault="002F3BA5" w:rsidP="002F3BA5">
      <w:pPr>
        <w:pStyle w:val="Odsekzoznamu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</w:t>
      </w:r>
      <w:r w:rsidR="007B09C8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prípade</w:t>
      </w:r>
      <w:r w:rsidR="007B09C8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ak bude ponuku predkladať </w:t>
      </w:r>
      <w:proofErr w:type="spellStart"/>
      <w:r>
        <w:rPr>
          <w:rFonts w:ascii="Times New Roman" w:hAnsi="Times New Roman"/>
          <w:bCs/>
          <w:sz w:val="24"/>
          <w:szCs w:val="24"/>
        </w:rPr>
        <w:t>eventová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alebo cestovná agentúra, je potrebné aby súčasťou ponuky bol už návrh konkrétneho plnenia predmetu zákazky. Teda konkrétne miesto plnenia predmetu zákazky, potvrdené ponúknutým hotelovým zariadením. Ponuka </w:t>
      </w:r>
      <w:proofErr w:type="spellStart"/>
      <w:r>
        <w:rPr>
          <w:rFonts w:ascii="Times New Roman" w:hAnsi="Times New Roman"/>
          <w:bCs/>
          <w:sz w:val="24"/>
          <w:szCs w:val="24"/>
        </w:rPr>
        <w:t>eventovej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alebo cestovnej agentúry, ktorá nebude obsahovať uvedené náležitosti </w:t>
      </w:r>
      <w:r w:rsidR="007B09C8">
        <w:rPr>
          <w:rFonts w:ascii="Times New Roman" w:hAnsi="Times New Roman"/>
          <w:bCs/>
          <w:sz w:val="24"/>
          <w:szCs w:val="24"/>
        </w:rPr>
        <w:t>nebude akceptovaná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AD0E65" w:rsidRDefault="00AD0E65" w:rsidP="00AD0E65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AD0E65" w:rsidRPr="009B2C0F" w:rsidRDefault="007B09C8" w:rsidP="009B2C0F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10</w:t>
      </w:r>
      <w:r w:rsidR="00AD0E6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. Predpokladaná hodnota zákazky v EUR bez DPH</w:t>
      </w:r>
      <w:r w:rsidR="00AD0E65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  <w:r w:rsidR="009B2C0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9B2C0F" w:rsidRPr="009B2C0F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28 232,44 </w:t>
      </w:r>
    </w:p>
    <w:p w:rsidR="00AD0E65" w:rsidRDefault="00AD0E65" w:rsidP="00AD0E65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D0E65" w:rsidRDefault="007B09C8" w:rsidP="00AD0E65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11</w:t>
      </w:r>
      <w:r w:rsidR="00AD0E65">
        <w:rPr>
          <w:rFonts w:ascii="Times New Roman" w:eastAsiaTheme="minorHAnsi" w:hAnsi="Times New Roman"/>
          <w:b/>
          <w:bCs/>
          <w:sz w:val="24"/>
          <w:szCs w:val="24"/>
        </w:rPr>
        <w:t xml:space="preserve">. Hlavné podmienky financovania a platobné dojednania: </w:t>
      </w:r>
    </w:p>
    <w:p w:rsidR="00AD0E65" w:rsidRDefault="006631DE" w:rsidP="009B2C0F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Na základe faktúry dodávateľa</w:t>
      </w:r>
      <w:r w:rsidR="009B2C0F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Splatnosť faktúry do </w:t>
      </w:r>
      <w:r w:rsidR="00047553">
        <w:rPr>
          <w:rFonts w:ascii="Times New Roman" w:eastAsiaTheme="minorHAnsi" w:hAnsi="Times New Roman"/>
          <w:sz w:val="24"/>
          <w:szCs w:val="24"/>
        </w:rPr>
        <w:t xml:space="preserve">30 </w:t>
      </w:r>
      <w:r>
        <w:rPr>
          <w:rFonts w:ascii="Times New Roman" w:eastAsiaTheme="minorHAnsi" w:hAnsi="Times New Roman"/>
          <w:sz w:val="24"/>
          <w:szCs w:val="24"/>
        </w:rPr>
        <w:t xml:space="preserve"> dní od jej doručenia. </w:t>
      </w:r>
      <w:r w:rsidR="009B2C0F" w:rsidRPr="009B2C0F">
        <w:rPr>
          <w:rFonts w:ascii="Times New Roman" w:eastAsiaTheme="minorHAnsi" w:hAnsi="Times New Roman"/>
          <w:sz w:val="24"/>
          <w:szCs w:val="24"/>
        </w:rPr>
        <w:t>Predmet zákazky bude spolufinancovaný z prostriedkov EŠIF, Operačný program Technická pomoc, Projekt ITMS č. 301011C002,  názov projektu „</w:t>
      </w:r>
      <w:r w:rsidR="009B2C0F">
        <w:rPr>
          <w:rFonts w:ascii="Times New Roman" w:eastAsiaTheme="minorHAnsi" w:hAnsi="Times New Roman"/>
          <w:sz w:val="24"/>
          <w:szCs w:val="24"/>
        </w:rPr>
        <w:t xml:space="preserve">Špecifické vzdelávanie AK EŠIF“ </w:t>
      </w:r>
      <w:r w:rsidR="00482C46">
        <w:rPr>
          <w:rFonts w:ascii="Times New Roman" w:eastAsiaTheme="minorHAnsi" w:hAnsi="Times New Roman"/>
          <w:sz w:val="24"/>
          <w:szCs w:val="24"/>
        </w:rPr>
        <w:t xml:space="preserve">                         </w:t>
      </w:r>
      <w:r w:rsidR="009B2C0F" w:rsidRPr="009B2C0F">
        <w:rPr>
          <w:rFonts w:ascii="Times New Roman" w:eastAsiaTheme="minorHAnsi" w:hAnsi="Times New Roman"/>
          <w:sz w:val="24"/>
          <w:szCs w:val="24"/>
        </w:rPr>
        <w:t>a z Operačného programu integrovaná infraštruktúra NFP311081G866.</w:t>
      </w:r>
    </w:p>
    <w:p w:rsidR="00AD0E65" w:rsidRDefault="00AD0E65" w:rsidP="00AD0E65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4786E" w:rsidRPr="009B2C0F" w:rsidRDefault="00482C46" w:rsidP="009B2C0F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>12</w:t>
      </w:r>
      <w:r w:rsidR="00AD0E65" w:rsidRPr="009B2C0F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. </w:t>
      </w:r>
      <w:r w:rsidR="0054786E" w:rsidRPr="009B2C0F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Podmienky účasti </w:t>
      </w:r>
    </w:p>
    <w:p w:rsidR="0054786E" w:rsidRPr="002F3BA5" w:rsidRDefault="0054786E" w:rsidP="002F3BA5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2F3BA5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- Osobné postavenie uchádzačov a záujemcov vrátane požiadaviek týkajúcich sa zápisu do profesijného alebo obchodného registra. </w:t>
      </w:r>
    </w:p>
    <w:p w:rsidR="0054786E" w:rsidRPr="002F3BA5" w:rsidRDefault="0054786E" w:rsidP="002F3BA5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2F3BA5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Doklad o oprávnení poskytovať službu v oblasti predmetu zákazky.</w:t>
      </w:r>
    </w:p>
    <w:p w:rsidR="0054786E" w:rsidRPr="002F3BA5" w:rsidRDefault="0054786E" w:rsidP="002F3BA5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</w:p>
    <w:p w:rsidR="0054786E" w:rsidRPr="002F3BA5" w:rsidRDefault="00482C46" w:rsidP="002F3BA5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Odôvodnenie požiadavky:</w:t>
      </w:r>
    </w:p>
    <w:p w:rsidR="0054786E" w:rsidRPr="002F3BA5" w:rsidRDefault="0054786E" w:rsidP="002F3BA5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2F3BA5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Verejný obstarávateľ stanovil požiadavku podľa platnej legislatívy. </w:t>
      </w:r>
    </w:p>
    <w:p w:rsidR="00AD0E65" w:rsidRPr="009B2C0F" w:rsidRDefault="00482C46" w:rsidP="009B2C0F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Uchádzač predloží doklad</w:t>
      </w:r>
      <w:r w:rsidR="0054786E" w:rsidRPr="002F3BA5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 podľa tohto bodu výzvy. Ak uchádzač nesplní požiadavku podľa tohto bodu výzvy na predkladanie ponúk, bude z verejného obstarávania vylúčený.</w:t>
      </w:r>
    </w:p>
    <w:p w:rsidR="00482C46" w:rsidRPr="00840429" w:rsidRDefault="00482C46" w:rsidP="00AD0E65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AD0E65" w:rsidRDefault="00482C46" w:rsidP="00AD0E65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13</w:t>
      </w:r>
      <w:r w:rsidR="00AD0E65">
        <w:rPr>
          <w:rFonts w:ascii="Times New Roman" w:eastAsiaTheme="minorHAnsi" w:hAnsi="Times New Roman"/>
          <w:b/>
          <w:bCs/>
          <w:sz w:val="24"/>
          <w:szCs w:val="24"/>
        </w:rPr>
        <w:t xml:space="preserve">. Kritérium na vyhodnotenie ponúk: </w:t>
      </w:r>
    </w:p>
    <w:p w:rsidR="00AD0E65" w:rsidRDefault="00AD0E65" w:rsidP="009B2C0F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Najnižšia cena celkom uvedená v EUR vrátane DPH</w:t>
      </w:r>
      <w:r w:rsidR="00983BCB">
        <w:rPr>
          <w:rFonts w:ascii="Times New Roman" w:eastAsiaTheme="minorHAnsi" w:hAnsi="Times New Roman"/>
          <w:sz w:val="24"/>
          <w:szCs w:val="24"/>
        </w:rPr>
        <w:t xml:space="preserve">. </w:t>
      </w:r>
      <w:r w:rsidR="00983BCB" w:rsidRPr="00983BCB">
        <w:rPr>
          <w:rFonts w:ascii="Times New Roman" w:eastAsiaTheme="minorHAnsi" w:hAnsi="Times New Roman"/>
          <w:sz w:val="24"/>
          <w:szCs w:val="24"/>
        </w:rPr>
        <w:t>Súčasťou ponukovej ceny za poskytnutie služby musia byť všetky náklady</w:t>
      </w:r>
      <w:r w:rsidR="00983BCB">
        <w:rPr>
          <w:rFonts w:ascii="Times New Roman" w:eastAsiaTheme="minorHAnsi" w:hAnsi="Times New Roman"/>
          <w:sz w:val="24"/>
          <w:szCs w:val="24"/>
        </w:rPr>
        <w:t xml:space="preserve">, ktoré vzniknú uchádzačovi </w:t>
      </w:r>
      <w:r w:rsidR="00983BCB" w:rsidRPr="00983BCB">
        <w:rPr>
          <w:rFonts w:ascii="Times New Roman" w:eastAsiaTheme="minorHAnsi" w:hAnsi="Times New Roman"/>
          <w:sz w:val="24"/>
          <w:szCs w:val="24"/>
        </w:rPr>
        <w:t>pri plnení predmetu zmluvy</w:t>
      </w:r>
      <w:r w:rsidR="00A03C10">
        <w:rPr>
          <w:rFonts w:ascii="Times New Roman" w:eastAsiaTheme="minorHAnsi" w:hAnsi="Times New Roman"/>
          <w:sz w:val="24"/>
          <w:szCs w:val="24"/>
        </w:rPr>
        <w:t>, vrátane nákladov na dopravu</w:t>
      </w:r>
      <w:r w:rsidR="009B2C0F">
        <w:rPr>
          <w:rFonts w:ascii="Times New Roman" w:eastAsiaTheme="minorHAnsi" w:hAnsi="Times New Roman"/>
          <w:sz w:val="24"/>
          <w:szCs w:val="24"/>
        </w:rPr>
        <w:t>.</w:t>
      </w:r>
    </w:p>
    <w:p w:rsidR="00AD0E65" w:rsidRDefault="00AD0E65" w:rsidP="00AD0E65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D0E65" w:rsidRDefault="00482C46" w:rsidP="00AD0E65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14</w:t>
      </w:r>
      <w:r w:rsidR="00AD0E65">
        <w:rPr>
          <w:rFonts w:ascii="Times New Roman" w:eastAsiaTheme="minorHAnsi" w:hAnsi="Times New Roman"/>
          <w:b/>
          <w:bCs/>
          <w:sz w:val="24"/>
          <w:szCs w:val="24"/>
        </w:rPr>
        <w:t xml:space="preserve">. Lehota na predkladanie ponúk uplynie dňa </w:t>
      </w:r>
      <w:r w:rsidR="00AD0E65">
        <w:rPr>
          <w:rFonts w:ascii="Times New Roman" w:eastAsiaTheme="minorHAnsi" w:hAnsi="Times New Roman"/>
          <w:bCs/>
          <w:sz w:val="24"/>
          <w:szCs w:val="24"/>
        </w:rPr>
        <w:t>(dátum a čas)</w:t>
      </w:r>
      <w:r w:rsidR="00AD0E65">
        <w:rPr>
          <w:rFonts w:ascii="Times New Roman" w:eastAsiaTheme="minorHAnsi" w:hAnsi="Times New Roman"/>
          <w:b/>
          <w:bCs/>
          <w:sz w:val="24"/>
          <w:szCs w:val="24"/>
        </w:rPr>
        <w:t xml:space="preserve">: </w:t>
      </w:r>
    </w:p>
    <w:p w:rsidR="009B2C0F" w:rsidRPr="00482C46" w:rsidRDefault="00482C46" w:rsidP="00AD0E65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16.6.2017 do 17</w:t>
      </w:r>
      <w:r w:rsidR="009B2C0F" w:rsidRPr="009B2C0F">
        <w:rPr>
          <w:rFonts w:ascii="Times New Roman" w:eastAsiaTheme="minorHAnsi" w:hAnsi="Times New Roman"/>
          <w:color w:val="000000" w:themeColor="text1"/>
          <w:sz w:val="24"/>
          <w:szCs w:val="24"/>
        </w:rPr>
        <w:t>:00 hod.</w:t>
      </w:r>
    </w:p>
    <w:p w:rsidR="00AD0E65" w:rsidRDefault="00482C46" w:rsidP="00AD0E65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15</w:t>
      </w:r>
      <w:r w:rsidR="00AD0E65">
        <w:rPr>
          <w:rFonts w:ascii="Times New Roman" w:eastAsiaTheme="minorHAnsi" w:hAnsi="Times New Roman"/>
          <w:b/>
          <w:bCs/>
          <w:sz w:val="24"/>
          <w:szCs w:val="24"/>
        </w:rPr>
        <w:t xml:space="preserve">. Miesto na predloženie ponúk: </w:t>
      </w:r>
    </w:p>
    <w:p w:rsidR="00840429" w:rsidRDefault="0054786E" w:rsidP="00840429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Ponuky je potrebné predkladať výlučne elektronicky na emailovú adresu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  <w:hyperlink r:id="rId8" w:history="1">
        <w:r w:rsidR="009B2C0F" w:rsidRPr="00245094">
          <w:rPr>
            <w:rStyle w:val="Hypertextovprepojenie"/>
            <w:rFonts w:ascii="Times New Roman" w:eastAsiaTheme="minorHAnsi" w:hAnsi="Times New Roman"/>
            <w:sz w:val="24"/>
            <w:szCs w:val="24"/>
          </w:rPr>
          <w:t>andrea.halazsova@vicepremier.gov.sk</w:t>
        </w:r>
      </w:hyperlink>
    </w:p>
    <w:p w:rsidR="0054786E" w:rsidRDefault="0054786E" w:rsidP="00840429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4786E" w:rsidRPr="004369E5" w:rsidRDefault="00482C46" w:rsidP="0054786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16</w:t>
      </w:r>
      <w:r w:rsidR="0054786E">
        <w:rPr>
          <w:rFonts w:ascii="Times New Roman" w:hAnsi="Times New Roman" w:cs="Times New Roman"/>
          <w:b/>
        </w:rPr>
        <w:t xml:space="preserve">. </w:t>
      </w:r>
      <w:r w:rsidR="0054786E" w:rsidRPr="004369E5">
        <w:rPr>
          <w:rFonts w:ascii="Times New Roman" w:hAnsi="Times New Roman" w:cs="Times New Roman"/>
          <w:b/>
        </w:rPr>
        <w:t>Ponuka musí obsahovať:</w:t>
      </w:r>
      <w:r w:rsidR="0054786E" w:rsidRPr="004369E5">
        <w:rPr>
          <w:rFonts w:ascii="Times New Roman" w:hAnsi="Times New Roman" w:cs="Times New Roman"/>
        </w:rPr>
        <w:t xml:space="preserve"> </w:t>
      </w:r>
    </w:p>
    <w:p w:rsidR="0054786E" w:rsidRPr="004369E5" w:rsidRDefault="0054786E" w:rsidP="0054786E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4369E5">
        <w:rPr>
          <w:rFonts w:ascii="Times New Roman" w:hAnsi="Times New Roman"/>
          <w:color w:val="000000"/>
          <w:sz w:val="24"/>
          <w:szCs w:val="24"/>
        </w:rPr>
        <w:t>Doklady a dokumenty, ktorým</w:t>
      </w:r>
      <w:r w:rsidR="00482C46">
        <w:rPr>
          <w:rFonts w:ascii="Times New Roman" w:hAnsi="Times New Roman"/>
          <w:color w:val="000000"/>
          <w:sz w:val="24"/>
          <w:szCs w:val="24"/>
        </w:rPr>
        <w:t>i</w:t>
      </w:r>
      <w:r w:rsidRPr="004369E5">
        <w:rPr>
          <w:rFonts w:ascii="Times New Roman" w:hAnsi="Times New Roman"/>
          <w:color w:val="000000"/>
          <w:sz w:val="24"/>
          <w:szCs w:val="24"/>
        </w:rPr>
        <w:t xml:space="preserve"> uchádzač preukáže splnenie podmienok účasti </w:t>
      </w:r>
    </w:p>
    <w:p w:rsidR="00482C46" w:rsidRDefault="009B2C0F" w:rsidP="00482C46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54786E" w:rsidRPr="00BF172B">
        <w:rPr>
          <w:rFonts w:ascii="Times New Roman" w:hAnsi="Times New Roman"/>
          <w:color w:val="000000"/>
          <w:sz w:val="24"/>
          <w:szCs w:val="24"/>
        </w:rPr>
        <w:t xml:space="preserve">Doplnený a podpísaný Návrh na plnenie kritéria určeného verejným obstarávateľom na hodnotenie ponúk – </w:t>
      </w:r>
      <w:r w:rsidR="00482C46">
        <w:rPr>
          <w:rFonts w:ascii="Times New Roman" w:hAnsi="Times New Roman"/>
          <w:color w:val="000000"/>
          <w:sz w:val="24"/>
          <w:szCs w:val="24"/>
        </w:rPr>
        <w:t>podľa bodu č. 17</w:t>
      </w:r>
      <w:r w:rsidR="0054786E" w:rsidRPr="00BF172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4786E" w:rsidRPr="004369E5" w:rsidRDefault="009B2C0F" w:rsidP="00482C46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Vyplnenú prílohu č. 1 tejto výzvy.</w:t>
      </w:r>
    </w:p>
    <w:p w:rsidR="0054786E" w:rsidRPr="002F3BA5" w:rsidRDefault="0054786E" w:rsidP="002F3BA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69E5">
        <w:rPr>
          <w:rFonts w:ascii="Times New Roman" w:hAnsi="Times New Roman"/>
          <w:sz w:val="24"/>
          <w:szCs w:val="24"/>
        </w:rPr>
        <w:t>Verejný obstarávateľ po vyhodnotení ponúk bezodkladne zašle informáciu o vyhod</w:t>
      </w:r>
      <w:r>
        <w:rPr>
          <w:rFonts w:ascii="Times New Roman" w:hAnsi="Times New Roman"/>
          <w:sz w:val="24"/>
          <w:szCs w:val="24"/>
        </w:rPr>
        <w:t>notení ponúk všetkým uchádzačom</w:t>
      </w:r>
      <w:r w:rsidRPr="004369E5">
        <w:rPr>
          <w:rFonts w:ascii="Times New Roman" w:hAnsi="Times New Roman"/>
          <w:sz w:val="24"/>
          <w:szCs w:val="24"/>
        </w:rPr>
        <w:t>. Verejný obstarávate</w:t>
      </w:r>
      <w:r w:rsidR="00482C46">
        <w:rPr>
          <w:rFonts w:ascii="Times New Roman" w:hAnsi="Times New Roman"/>
          <w:sz w:val="24"/>
          <w:szCs w:val="24"/>
        </w:rPr>
        <w:t>ľ úspešného uchádzača</w:t>
      </w:r>
      <w:r w:rsidRPr="004369E5">
        <w:rPr>
          <w:rFonts w:ascii="Times New Roman" w:hAnsi="Times New Roman"/>
          <w:sz w:val="24"/>
          <w:szCs w:val="24"/>
        </w:rPr>
        <w:t xml:space="preserve"> bude kontaktovať telefonicky ihneď po vyhodnotení. Ak uchádzač nepredloží všetky náležitosti tejto výzvy,</w:t>
      </w:r>
      <w:r>
        <w:rPr>
          <w:rFonts w:ascii="Times New Roman" w:hAnsi="Times New Roman"/>
          <w:sz w:val="24"/>
          <w:szCs w:val="24"/>
        </w:rPr>
        <w:t xml:space="preserve"> jeho ponuka nebude hodnotená</w:t>
      </w:r>
      <w:r w:rsidR="00482C46">
        <w:rPr>
          <w:rFonts w:ascii="Times New Roman" w:hAnsi="Times New Roman"/>
          <w:sz w:val="24"/>
          <w:szCs w:val="24"/>
        </w:rPr>
        <w:t xml:space="preserve"> a ako úspešný bude vyhodnotený uchádzač, ktorý sa umiestnil ako 2. v poradí</w:t>
      </w:r>
      <w:r>
        <w:rPr>
          <w:rFonts w:ascii="Times New Roman" w:hAnsi="Times New Roman"/>
          <w:sz w:val="24"/>
          <w:szCs w:val="24"/>
        </w:rPr>
        <w:t>.</w:t>
      </w:r>
      <w:r w:rsidRPr="004369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 úspešným uchádzač</w:t>
      </w:r>
      <w:r w:rsidRPr="00870B83">
        <w:rPr>
          <w:rFonts w:ascii="Times New Roman" w:hAnsi="Times New Roman"/>
          <w:sz w:val="24"/>
          <w:szCs w:val="24"/>
        </w:rPr>
        <w:t xml:space="preserve">om bude podpísaná </w:t>
      </w:r>
      <w:r w:rsidR="001F4951">
        <w:rPr>
          <w:rFonts w:ascii="Times New Roman" w:hAnsi="Times New Roman"/>
          <w:sz w:val="24"/>
          <w:szCs w:val="24"/>
        </w:rPr>
        <w:t>zmluva</w:t>
      </w:r>
      <w:r w:rsidRPr="00870B83">
        <w:rPr>
          <w:rFonts w:ascii="Times New Roman" w:hAnsi="Times New Roman"/>
          <w:sz w:val="24"/>
          <w:szCs w:val="24"/>
        </w:rPr>
        <w:t xml:space="preserve"> na dodanie predmetu zákazky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686" w:type="dxa"/>
        <w:tblInd w:w="-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5213"/>
        <w:gridCol w:w="1918"/>
        <w:gridCol w:w="1579"/>
        <w:gridCol w:w="398"/>
        <w:gridCol w:w="1528"/>
      </w:tblGrid>
      <w:tr w:rsidR="0054786E" w:rsidTr="00717296">
        <w:trPr>
          <w:trHeight w:val="93"/>
        </w:trPr>
        <w:tc>
          <w:tcPr>
            <w:tcW w:w="50" w:type="dxa"/>
            <w:vAlign w:val="center"/>
            <w:hideMark/>
          </w:tcPr>
          <w:p w:rsidR="0054786E" w:rsidRDefault="0054786E" w:rsidP="00717296">
            <w:r>
              <w:t> </w:t>
            </w:r>
          </w:p>
        </w:tc>
        <w:tc>
          <w:tcPr>
            <w:tcW w:w="1063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86E" w:rsidRPr="00BA5234" w:rsidRDefault="00482C46" w:rsidP="0071729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17</w:t>
            </w:r>
            <w:r w:rsidR="0054786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. </w:t>
            </w:r>
            <w:r w:rsidR="0054786E" w:rsidRPr="00BA523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Návrh na plnenie kritéria určeného verejným obstarávateľom na hodnotenie ponúk </w:t>
            </w:r>
          </w:p>
          <w:p w:rsidR="0054786E" w:rsidRDefault="0054786E" w:rsidP="00717296">
            <w:pPr>
              <w:pStyle w:val="Default"/>
              <w:rPr>
                <w:color w:val="auto"/>
                <w:sz w:val="20"/>
                <w:szCs w:val="20"/>
              </w:rPr>
            </w:pPr>
          </w:p>
          <w:tbl>
            <w:tblPr>
              <w:tblW w:w="8650" w:type="dxa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69"/>
              <w:gridCol w:w="2034"/>
              <w:gridCol w:w="2633"/>
              <w:gridCol w:w="1914"/>
            </w:tblGrid>
            <w:tr w:rsidR="00482C46" w:rsidRPr="0038407D" w:rsidTr="00482C46">
              <w:trPr>
                <w:trHeight w:val="450"/>
              </w:trPr>
              <w:tc>
                <w:tcPr>
                  <w:tcW w:w="865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C46" w:rsidRPr="0038407D" w:rsidRDefault="00482C46" w:rsidP="00717296">
                  <w:pPr>
                    <w:rPr>
                      <w:rFonts w:eastAsia="Times New Roman"/>
                      <w:color w:val="000000"/>
                      <w:lang w:eastAsia="sk-SK"/>
                    </w:rPr>
                  </w:pPr>
                </w:p>
              </w:tc>
            </w:tr>
            <w:tr w:rsidR="00482C46" w:rsidRPr="0038407D" w:rsidTr="00482C46">
              <w:trPr>
                <w:trHeight w:val="450"/>
              </w:trPr>
              <w:tc>
                <w:tcPr>
                  <w:tcW w:w="865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82C46" w:rsidRPr="0038407D" w:rsidRDefault="00482C46" w:rsidP="00717296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                                                                                          Návrh na plnenie kritéria </w:t>
                  </w:r>
                </w:p>
              </w:tc>
            </w:tr>
            <w:tr w:rsidR="00482C46" w:rsidRPr="0038407D" w:rsidTr="00482C46">
              <w:trPr>
                <w:trHeight w:val="450"/>
              </w:trPr>
              <w:tc>
                <w:tcPr>
                  <w:tcW w:w="20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2C46" w:rsidRPr="0038407D" w:rsidRDefault="00482C46" w:rsidP="00717296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>Kritérium</w:t>
                  </w:r>
                </w:p>
              </w:tc>
              <w:tc>
                <w:tcPr>
                  <w:tcW w:w="20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2C46" w:rsidRPr="0038407D" w:rsidRDefault="00482C46" w:rsidP="00717296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                     Návrh</w:t>
                  </w:r>
                </w:p>
              </w:tc>
              <w:tc>
                <w:tcPr>
                  <w:tcW w:w="263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2C46" w:rsidRPr="0038407D" w:rsidRDefault="00482C46" w:rsidP="00717296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>Sadzba DPH v zmysle</w:t>
                  </w:r>
                </w:p>
              </w:tc>
              <w:tc>
                <w:tcPr>
                  <w:tcW w:w="191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2C46" w:rsidRPr="0038407D" w:rsidRDefault="00482C46" w:rsidP="00717296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            Návrh</w:t>
                  </w:r>
                </w:p>
              </w:tc>
            </w:tr>
            <w:tr w:rsidR="00482C46" w:rsidRPr="0038407D" w:rsidTr="00482C46">
              <w:trPr>
                <w:trHeight w:val="450"/>
              </w:trPr>
              <w:tc>
                <w:tcPr>
                  <w:tcW w:w="20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2C46" w:rsidRPr="0038407D" w:rsidRDefault="00482C46" w:rsidP="00717296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0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2C46" w:rsidRPr="0038407D" w:rsidRDefault="00482C46" w:rsidP="00717296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6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2C46" w:rsidRPr="0038407D" w:rsidRDefault="00482C46" w:rsidP="00717296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 xml:space="preserve">platnej legislatívy </w:t>
                  </w:r>
                </w:p>
              </w:tc>
              <w:tc>
                <w:tcPr>
                  <w:tcW w:w="191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2C46" w:rsidRPr="0038407D" w:rsidRDefault="00482C46" w:rsidP="00717296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482C46" w:rsidRPr="0038407D" w:rsidTr="00482C46">
              <w:trPr>
                <w:trHeight w:val="450"/>
              </w:trPr>
              <w:tc>
                <w:tcPr>
                  <w:tcW w:w="20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2C46" w:rsidRPr="0038407D" w:rsidRDefault="00482C46" w:rsidP="00717296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  <w:t>Najnižšia konečná zmluvná  cena  v EUR vrátane DPH. Váha kritéria je  100 %.*</w:t>
                  </w:r>
                </w:p>
              </w:tc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2C46" w:rsidRPr="0038407D" w:rsidRDefault="00482C46" w:rsidP="00717296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  <w:t>Spolu...................EUR</w:t>
                  </w:r>
                </w:p>
              </w:tc>
              <w:tc>
                <w:tcPr>
                  <w:tcW w:w="263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2C46" w:rsidRPr="0038407D" w:rsidRDefault="00482C46" w:rsidP="00717296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2C46" w:rsidRPr="0038407D" w:rsidRDefault="00482C46" w:rsidP="00717296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  <w:t>Spolu...................EUR</w:t>
                  </w:r>
                </w:p>
              </w:tc>
            </w:tr>
            <w:tr w:rsidR="00482C46" w:rsidRPr="0038407D" w:rsidTr="00482C46">
              <w:trPr>
                <w:trHeight w:val="450"/>
              </w:trPr>
              <w:tc>
                <w:tcPr>
                  <w:tcW w:w="20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2C46" w:rsidRPr="0038407D" w:rsidRDefault="00482C46" w:rsidP="00717296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2C46" w:rsidRPr="0038407D" w:rsidRDefault="00482C46" w:rsidP="00717296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>bez DPH</w:t>
                  </w:r>
                </w:p>
              </w:tc>
              <w:tc>
                <w:tcPr>
                  <w:tcW w:w="263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82C46" w:rsidRPr="0038407D" w:rsidRDefault="00482C46" w:rsidP="00717296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2C46" w:rsidRPr="0038407D" w:rsidRDefault="00482C46" w:rsidP="00717296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>vrátane DPH</w:t>
                  </w:r>
                </w:p>
              </w:tc>
            </w:tr>
            <w:tr w:rsidR="00482C46" w:rsidRPr="0038407D" w:rsidTr="00482C46">
              <w:trPr>
                <w:trHeight w:val="450"/>
              </w:trPr>
              <w:tc>
                <w:tcPr>
                  <w:tcW w:w="20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2C46" w:rsidRPr="0038407D" w:rsidRDefault="00482C46" w:rsidP="00717296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  <w:t>V ..................................</w:t>
                  </w:r>
                </w:p>
              </w:tc>
              <w:tc>
                <w:tcPr>
                  <w:tcW w:w="20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2C46" w:rsidRPr="0038407D" w:rsidRDefault="00482C46" w:rsidP="00717296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  <w:t>Dátum...............................</w:t>
                  </w:r>
                </w:p>
              </w:tc>
              <w:tc>
                <w:tcPr>
                  <w:tcW w:w="26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2C46" w:rsidRPr="0038407D" w:rsidRDefault="00482C46" w:rsidP="00717296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>Meno a priezvisko štatutára uchádzača alebo ním poverenej osoby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2C46" w:rsidRPr="0038407D" w:rsidRDefault="00482C46" w:rsidP="00717296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  <w:t>Podpis</w:t>
                  </w:r>
                </w:p>
              </w:tc>
            </w:tr>
          </w:tbl>
          <w:p w:rsidR="0054786E" w:rsidRDefault="0054786E" w:rsidP="00717296">
            <w:pPr>
              <w:pStyle w:val="Default"/>
            </w:pPr>
          </w:p>
        </w:tc>
      </w:tr>
      <w:tr w:rsidR="0054786E" w:rsidTr="00717296">
        <w:trPr>
          <w:trHeight w:val="324"/>
        </w:trPr>
        <w:tc>
          <w:tcPr>
            <w:tcW w:w="50" w:type="dxa"/>
            <w:vAlign w:val="center"/>
            <w:hideMark/>
          </w:tcPr>
          <w:p w:rsidR="0054786E" w:rsidRDefault="0054786E" w:rsidP="00717296">
            <w:r>
              <w:t> </w:t>
            </w:r>
          </w:p>
        </w:tc>
        <w:tc>
          <w:tcPr>
            <w:tcW w:w="5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86E" w:rsidRDefault="0054786E" w:rsidP="0071729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86E" w:rsidRDefault="0054786E" w:rsidP="00717296">
            <w:pPr>
              <w:pStyle w:val="Default"/>
            </w:pPr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86E" w:rsidRDefault="0054786E" w:rsidP="0071729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86E" w:rsidRDefault="0054786E" w:rsidP="00717296">
            <w:pPr>
              <w:pStyle w:val="Default"/>
            </w:pPr>
          </w:p>
        </w:tc>
      </w:tr>
      <w:tr w:rsidR="0054786E" w:rsidTr="00717296">
        <w:trPr>
          <w:trHeight w:val="439"/>
        </w:trPr>
        <w:tc>
          <w:tcPr>
            <w:tcW w:w="915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86E" w:rsidRPr="00BA5234" w:rsidRDefault="00482C46" w:rsidP="00717296">
            <w:pPr>
              <w:pStyle w:val="Default"/>
              <w:ind w:left="5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="0054786E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54786E" w:rsidRPr="00BA5234">
              <w:rPr>
                <w:rFonts w:ascii="Times New Roman" w:hAnsi="Times New Roman" w:cs="Times New Roman"/>
                <w:b/>
                <w:bCs/>
              </w:rPr>
              <w:t xml:space="preserve">Jazyk, v ktorom možno predložiť ponuky </w:t>
            </w:r>
          </w:p>
          <w:p w:rsidR="0054786E" w:rsidRPr="00BA5234" w:rsidRDefault="0054786E" w:rsidP="00717296">
            <w:pPr>
              <w:pStyle w:val="Default"/>
              <w:ind w:left="559"/>
              <w:rPr>
                <w:rFonts w:ascii="Times New Roman" w:hAnsi="Times New Roman" w:cs="Times New Roman"/>
              </w:rPr>
            </w:pPr>
            <w:r w:rsidRPr="00BA5234">
              <w:rPr>
                <w:rFonts w:ascii="Times New Roman" w:hAnsi="Times New Roman" w:cs="Times New Roman"/>
              </w:rPr>
              <w:t>Štátny jazyk, slovenský jazyk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786E" w:rsidRDefault="0054786E" w:rsidP="00717296">
            <w:pPr>
              <w:pStyle w:val="Default"/>
              <w:ind w:left="559"/>
              <w:rPr>
                <w:rFonts w:ascii="Times New Roman" w:hAnsi="Times New Roman" w:cs="Times New Roman"/>
              </w:rPr>
            </w:pPr>
          </w:p>
          <w:p w:rsidR="0054786E" w:rsidRPr="00BA5234" w:rsidRDefault="00482C46" w:rsidP="00717296">
            <w:pPr>
              <w:pStyle w:val="Default"/>
              <w:ind w:left="5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="0054786E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54786E" w:rsidRPr="00BA5234">
              <w:rPr>
                <w:rFonts w:ascii="Times New Roman" w:hAnsi="Times New Roman" w:cs="Times New Roman"/>
                <w:b/>
                <w:bCs/>
              </w:rPr>
              <w:t xml:space="preserve">Minimálna lehota, počas ktorej sú ponuky uchádzačov viazané </w:t>
            </w:r>
          </w:p>
          <w:p w:rsidR="0054786E" w:rsidRPr="00BA5234" w:rsidRDefault="0054786E" w:rsidP="00717296">
            <w:pPr>
              <w:pStyle w:val="Default"/>
              <w:ind w:left="559"/>
              <w:rPr>
                <w:rFonts w:ascii="Times New Roman" w:hAnsi="Times New Roman" w:cs="Times New Roman"/>
              </w:rPr>
            </w:pPr>
            <w:r w:rsidRPr="00BA5234">
              <w:rPr>
                <w:rFonts w:ascii="Times New Roman" w:hAnsi="Times New Roman" w:cs="Times New Roman"/>
              </w:rPr>
              <w:t xml:space="preserve">Do termínu 30 dní odo dňa predkladania ponúk. </w:t>
            </w:r>
          </w:p>
          <w:p w:rsidR="0054786E" w:rsidRPr="00BA5234" w:rsidRDefault="0054786E" w:rsidP="00717296">
            <w:pPr>
              <w:pStyle w:val="Default"/>
              <w:ind w:left="559"/>
              <w:rPr>
                <w:rFonts w:ascii="Times New Roman" w:hAnsi="Times New Roman" w:cs="Times New Roman"/>
              </w:rPr>
            </w:pPr>
          </w:p>
          <w:p w:rsidR="0054786E" w:rsidRPr="00BA5234" w:rsidRDefault="00482C46" w:rsidP="00717296">
            <w:pPr>
              <w:pStyle w:val="Default"/>
              <w:ind w:left="5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54786E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54786E" w:rsidRPr="00BA5234">
              <w:rPr>
                <w:rFonts w:ascii="Times New Roman" w:hAnsi="Times New Roman" w:cs="Times New Roman"/>
                <w:b/>
                <w:bCs/>
              </w:rPr>
              <w:t xml:space="preserve">Zákazka sa týka projektu / programu financovaného z fondov EÚ </w:t>
            </w:r>
          </w:p>
          <w:p w:rsidR="0054786E" w:rsidRPr="00EE5B73" w:rsidRDefault="009B2C0F" w:rsidP="00717296">
            <w:pPr>
              <w:pStyle w:val="Default"/>
              <w:ind w:left="5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Áno</w:t>
            </w:r>
          </w:p>
          <w:p w:rsidR="0054786E" w:rsidRPr="00BA5234" w:rsidRDefault="0054786E" w:rsidP="00717296">
            <w:pPr>
              <w:pStyle w:val="Default"/>
              <w:ind w:left="559"/>
              <w:rPr>
                <w:rFonts w:ascii="Times New Roman" w:hAnsi="Times New Roman" w:cs="Times New Roman"/>
                <w:color w:val="1F497D"/>
              </w:rPr>
            </w:pPr>
          </w:p>
          <w:p w:rsidR="0054786E" w:rsidRPr="00BA5234" w:rsidRDefault="00482C46" w:rsidP="00717296">
            <w:pPr>
              <w:pStyle w:val="Default"/>
              <w:ind w:left="5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="0054786E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54786E" w:rsidRPr="00BA5234">
              <w:rPr>
                <w:rFonts w:ascii="Times New Roman" w:hAnsi="Times New Roman" w:cs="Times New Roman"/>
                <w:b/>
                <w:bCs/>
              </w:rPr>
              <w:t xml:space="preserve">Dátum zaslania výzvy na predkladanie ponúk </w:t>
            </w:r>
          </w:p>
          <w:p w:rsidR="0054786E" w:rsidRDefault="0054786E" w:rsidP="00717296">
            <w:pPr>
              <w:ind w:left="559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9.6.2017</w:t>
            </w:r>
          </w:p>
        </w:tc>
        <w:tc>
          <w:tcPr>
            <w:tcW w:w="1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86E" w:rsidRDefault="0054786E" w:rsidP="0071729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E296F" w:rsidRDefault="00482C46" w:rsidP="00AD0E65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Príloha:</w:t>
      </w:r>
    </w:p>
    <w:p w:rsidR="00AD0E65" w:rsidRPr="00AE296F" w:rsidRDefault="00482C46" w:rsidP="00AE296F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Opis predmetu zákazky - </w:t>
      </w:r>
      <w:r w:rsidR="009B2C0F">
        <w:rPr>
          <w:rFonts w:ascii="Times New Roman" w:eastAsiaTheme="minorHAnsi" w:hAnsi="Times New Roman"/>
          <w:bCs/>
          <w:sz w:val="24"/>
          <w:szCs w:val="24"/>
        </w:rPr>
        <w:t>Návrh na plnenie vo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formáte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položkovitého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rozpočtu</w:t>
      </w:r>
    </w:p>
    <w:sectPr w:rsidR="00AD0E65" w:rsidRPr="00AE2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91E68"/>
    <w:multiLevelType w:val="hybridMultilevel"/>
    <w:tmpl w:val="5CF0DB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B6D31"/>
    <w:multiLevelType w:val="hybridMultilevel"/>
    <w:tmpl w:val="93DA90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65"/>
    <w:rsid w:val="00047553"/>
    <w:rsid w:val="000A64E7"/>
    <w:rsid w:val="001F4951"/>
    <w:rsid w:val="002F3BA5"/>
    <w:rsid w:val="00324531"/>
    <w:rsid w:val="00482C46"/>
    <w:rsid w:val="00526C00"/>
    <w:rsid w:val="0054786E"/>
    <w:rsid w:val="006631DE"/>
    <w:rsid w:val="007B09C8"/>
    <w:rsid w:val="00840429"/>
    <w:rsid w:val="00983BCB"/>
    <w:rsid w:val="00983DC6"/>
    <w:rsid w:val="009B2C0F"/>
    <w:rsid w:val="00A03C10"/>
    <w:rsid w:val="00A560BB"/>
    <w:rsid w:val="00AD0E65"/>
    <w:rsid w:val="00AE296F"/>
    <w:rsid w:val="00DD4DFD"/>
    <w:rsid w:val="00ED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0E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D0E6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786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basedOn w:val="Normlny"/>
    <w:rsid w:val="0054786E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54786E"/>
    <w:pPr>
      <w:spacing w:after="0" w:line="240" w:lineRule="auto"/>
      <w:ind w:left="720"/>
      <w:contextualSpacing/>
    </w:pPr>
    <w:rPr>
      <w:rFonts w:eastAsiaTheme="minorHAnsi"/>
    </w:rPr>
  </w:style>
  <w:style w:type="character" w:styleId="Odkaznakomentr">
    <w:name w:val="annotation reference"/>
    <w:basedOn w:val="Predvolenpsmoodseku"/>
    <w:uiPriority w:val="99"/>
    <w:semiHidden/>
    <w:unhideWhenUsed/>
    <w:rsid w:val="001F49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49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4951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49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4951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0E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D0E6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786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basedOn w:val="Normlny"/>
    <w:rsid w:val="0054786E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54786E"/>
    <w:pPr>
      <w:spacing w:after="0" w:line="240" w:lineRule="auto"/>
      <w:ind w:left="720"/>
      <w:contextualSpacing/>
    </w:pPr>
    <w:rPr>
      <w:rFonts w:eastAsiaTheme="minorHAnsi"/>
    </w:rPr>
  </w:style>
  <w:style w:type="character" w:styleId="Odkaznakomentr">
    <w:name w:val="annotation reference"/>
    <w:basedOn w:val="Predvolenpsmoodseku"/>
    <w:uiPriority w:val="99"/>
    <w:semiHidden/>
    <w:unhideWhenUsed/>
    <w:rsid w:val="001F49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49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4951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49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495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halazsova@vicepremier.gov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vicepremier.gov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.halazsova@vicepremier.gov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 Suchy</dc:creator>
  <cp:lastModifiedBy>Hudec Branislav</cp:lastModifiedBy>
  <cp:revision>5</cp:revision>
  <dcterms:created xsi:type="dcterms:W3CDTF">2017-06-09T14:11:00Z</dcterms:created>
  <dcterms:modified xsi:type="dcterms:W3CDTF">2017-06-09T14:43:00Z</dcterms:modified>
</cp:coreProperties>
</file>