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09E78" w14:textId="77777777" w:rsidR="00722CEC" w:rsidRPr="00751395" w:rsidRDefault="00722CEC" w:rsidP="004D3CA2">
      <w:pPr>
        <w:autoSpaceDE w:val="0"/>
        <w:autoSpaceDN w:val="0"/>
        <w:spacing w:after="0" w:line="240" w:lineRule="auto"/>
        <w:ind w:right="11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75139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Výzva na predkladanie ponúk</w:t>
      </w:r>
    </w:p>
    <w:p w14:paraId="6C6C2E65" w14:textId="77777777" w:rsidR="00722CEC" w:rsidRPr="00751395" w:rsidRDefault="00722CEC" w:rsidP="004D3CA2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dstrike/>
          <w:color w:val="000000"/>
          <w:sz w:val="24"/>
          <w:szCs w:val="24"/>
        </w:rPr>
      </w:pPr>
    </w:p>
    <w:p w14:paraId="6DA5310C" w14:textId="57E0F677" w:rsidR="00722CEC" w:rsidRPr="00D11647" w:rsidRDefault="00D11647" w:rsidP="004D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Arial"/>
          <w:color w:val="000000"/>
          <w:sz w:val="20"/>
          <w:szCs w:val="20"/>
          <w:lang w:eastAsia="sk-SK"/>
        </w:rPr>
      </w:pPr>
      <w:r>
        <w:rPr>
          <w:rFonts w:ascii="Times New Roman" w:eastAsiaTheme="minorHAnsi" w:hAnsi="Times New Roman"/>
          <w:bCs/>
          <w:sz w:val="20"/>
          <w:szCs w:val="20"/>
          <w:lang w:eastAsia="sk-SK"/>
        </w:rPr>
        <w:t xml:space="preserve">pre </w:t>
      </w:r>
      <w:r w:rsidR="00722CEC" w:rsidRPr="00C60E9D">
        <w:rPr>
          <w:rFonts w:ascii="Times New Roman" w:eastAsiaTheme="minorHAnsi" w:hAnsi="Times New Roman" w:cs="Arial"/>
          <w:color w:val="000000"/>
          <w:sz w:val="20"/>
          <w:szCs w:val="20"/>
          <w:lang w:eastAsia="sk-SK"/>
        </w:rPr>
        <w:t>zákazku</w:t>
      </w:r>
      <w:r w:rsidR="007A1ECC">
        <w:rPr>
          <w:rFonts w:ascii="Times New Roman" w:eastAsiaTheme="minorHAnsi" w:hAnsi="Times New Roman" w:cs="Arial"/>
          <w:color w:val="000000"/>
          <w:sz w:val="20"/>
          <w:szCs w:val="20"/>
          <w:lang w:eastAsia="sk-SK"/>
        </w:rPr>
        <w:t xml:space="preserve"> podľa § 1 ods. 2 písm. c) zákona č. 343/2015 Z. z. o verejnom obstarávaní</w:t>
      </w:r>
      <w:r w:rsidR="00722CEC" w:rsidRPr="00C60E9D">
        <w:rPr>
          <w:rFonts w:ascii="Times New Roman" w:eastAsiaTheme="minorHAnsi" w:hAnsi="Times New Roman" w:cs="Arial"/>
          <w:color w:val="000000"/>
          <w:sz w:val="20"/>
          <w:szCs w:val="20"/>
          <w:lang w:eastAsia="sk-SK"/>
        </w:rPr>
        <w:t>, na ktorú sa nevzťahuje pôsobnosť zákona o verejnom obstarávaní</w:t>
      </w:r>
    </w:p>
    <w:p w14:paraId="7557997C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CA81B44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Verejný obstarávateľ </w:t>
      </w:r>
    </w:p>
    <w:p w14:paraId="182AC4DD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>Úrad podpredsedu vlády SR pre investície a informatizáciu</w:t>
      </w:r>
    </w:p>
    <w:p w14:paraId="3BCF1EDD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 xml:space="preserve">Štefánikova 15 </w:t>
      </w:r>
    </w:p>
    <w:p w14:paraId="13DFD031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>811 05 Bratislava</w:t>
      </w:r>
    </w:p>
    <w:p w14:paraId="0C429B5B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>IČO 50349287</w:t>
      </w:r>
    </w:p>
    <w:p w14:paraId="724EA455" w14:textId="44F7051D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>Kontaktná osoba:</w:t>
      </w:r>
      <w:r w:rsidR="0037435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60E9D">
        <w:rPr>
          <w:rFonts w:ascii="Times New Roman" w:eastAsiaTheme="minorHAnsi" w:hAnsi="Times New Roman"/>
          <w:color w:val="000000"/>
          <w:sz w:val="24"/>
          <w:szCs w:val="24"/>
        </w:rPr>
        <w:t>Ing. Peter Šesták</w:t>
      </w:r>
    </w:p>
    <w:p w14:paraId="4E034C83" w14:textId="4BABB763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>tel. č.:</w:t>
      </w:r>
      <w:r w:rsidR="004D471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74351">
        <w:rPr>
          <w:rFonts w:ascii="Times New Roman" w:eastAsiaTheme="minorHAnsi" w:hAnsi="Times New Roman"/>
          <w:color w:val="000000"/>
          <w:sz w:val="24"/>
          <w:szCs w:val="24"/>
        </w:rPr>
        <w:t>02/20928</w:t>
      </w:r>
      <w:r w:rsidR="00C60E9D">
        <w:rPr>
          <w:rFonts w:ascii="Times New Roman" w:eastAsiaTheme="minorHAnsi" w:hAnsi="Times New Roman"/>
          <w:color w:val="000000"/>
          <w:sz w:val="24"/>
          <w:szCs w:val="24"/>
        </w:rPr>
        <w:t>118</w:t>
      </w:r>
    </w:p>
    <w:p w14:paraId="6F9B0C56" w14:textId="44FE8152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 xml:space="preserve">e-mail: </w:t>
      </w:r>
      <w:hyperlink r:id="rId8" w:history="1">
        <w:r w:rsidR="00C60E9D" w:rsidRPr="00B80390">
          <w:rPr>
            <w:rStyle w:val="Hypertextovprepojenie"/>
            <w:rFonts w:ascii="Times New Roman" w:eastAsiaTheme="minorHAnsi" w:hAnsi="Times New Roman"/>
            <w:sz w:val="24"/>
            <w:szCs w:val="24"/>
          </w:rPr>
          <w:t>peter.sestak@vicepremier.gov.sk</w:t>
        </w:r>
      </w:hyperlink>
      <w:r w:rsidR="00144D7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2A353BC6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 xml:space="preserve">adresa hlavnej stránky verejného obstarávateľa /URL/: </w:t>
      </w:r>
      <w:hyperlink r:id="rId9" w:history="1">
        <w:r w:rsidRPr="00751395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https://www.vicepremier.gov.sk/</w:t>
        </w:r>
      </w:hyperlink>
      <w:r w:rsidRPr="0075139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5742F092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E14027B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20B002AD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 xml:space="preserve">Verejný obstarávateľ podľa § 7 ods. 1 písm. a) zákona o verejnom obstarávaní. </w:t>
      </w:r>
    </w:p>
    <w:p w14:paraId="1B636018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E6A49DE" w14:textId="7551E37E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3. Názov zákazk</w:t>
      </w:r>
      <w:r w:rsidR="00B3571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y podľa verejného obstarávateľa:</w:t>
      </w:r>
    </w:p>
    <w:p w14:paraId="5EA0989F" w14:textId="28BF3739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>,,</w:t>
      </w:r>
      <w:r w:rsidR="00C60E9D">
        <w:rPr>
          <w:rFonts w:ascii="Times New Roman" w:eastAsiaTheme="minorHAnsi" w:hAnsi="Times New Roman"/>
          <w:color w:val="000000"/>
          <w:sz w:val="24"/>
          <w:szCs w:val="24"/>
        </w:rPr>
        <w:t xml:space="preserve">Prenájom priestorov </w:t>
      </w:r>
      <w:r w:rsidR="00087472">
        <w:rPr>
          <w:rFonts w:ascii="Times New Roman" w:eastAsiaTheme="minorHAnsi" w:hAnsi="Times New Roman"/>
          <w:color w:val="000000"/>
          <w:sz w:val="24"/>
          <w:szCs w:val="24"/>
        </w:rPr>
        <w:t xml:space="preserve">pre zamestnancov </w:t>
      </w:r>
      <w:r w:rsidR="00C60E9D">
        <w:rPr>
          <w:rFonts w:ascii="Times New Roman" w:eastAsiaTheme="minorHAnsi" w:hAnsi="Times New Roman"/>
          <w:color w:val="000000"/>
          <w:sz w:val="24"/>
          <w:szCs w:val="24"/>
        </w:rPr>
        <w:t>Úrad</w:t>
      </w:r>
      <w:r w:rsidR="00087472">
        <w:rPr>
          <w:rFonts w:ascii="Times New Roman" w:eastAsiaTheme="minorHAnsi" w:hAnsi="Times New Roman"/>
          <w:color w:val="000000"/>
          <w:sz w:val="24"/>
          <w:szCs w:val="24"/>
        </w:rPr>
        <w:t>u</w:t>
      </w:r>
      <w:r w:rsidR="00C60E9D">
        <w:rPr>
          <w:rFonts w:ascii="Times New Roman" w:eastAsiaTheme="minorHAnsi" w:hAnsi="Times New Roman"/>
          <w:color w:val="000000"/>
          <w:sz w:val="24"/>
          <w:szCs w:val="24"/>
        </w:rPr>
        <w:t xml:space="preserve"> podpredsedu vlády SR pre investície a informatizáciu</w:t>
      </w: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 xml:space="preserve">“ </w:t>
      </w:r>
    </w:p>
    <w:p w14:paraId="520BF6D5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00938E0" w14:textId="68717C4E" w:rsidR="00722CEC" w:rsidRPr="00751395" w:rsidRDefault="00B35717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4. Druh zákazky:</w:t>
      </w:r>
    </w:p>
    <w:p w14:paraId="6CD7A7A3" w14:textId="41435447" w:rsidR="00722CEC" w:rsidRPr="00751395" w:rsidRDefault="00B35717" w:rsidP="00D2656B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Z</w:t>
      </w:r>
      <w:r w:rsidR="00D11647">
        <w:rPr>
          <w:rFonts w:ascii="Times New Roman" w:eastAsiaTheme="minorHAnsi" w:hAnsi="Times New Roman"/>
          <w:color w:val="000000"/>
          <w:sz w:val="24"/>
          <w:szCs w:val="24"/>
        </w:rPr>
        <w:t xml:space="preserve">ákazka na poskytnutie služieb </w:t>
      </w:r>
      <w:r w:rsidR="00D2656B">
        <w:rPr>
          <w:rFonts w:ascii="Times New Roman" w:eastAsiaTheme="minorHAnsi" w:hAnsi="Times New Roman"/>
          <w:color w:val="000000"/>
          <w:sz w:val="24"/>
          <w:szCs w:val="24"/>
        </w:rPr>
        <w:tab/>
      </w:r>
    </w:p>
    <w:p w14:paraId="2847163F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A2D3671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5. Hlavné miesto </w:t>
      </w: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>dodania tovaru/</w:t>
      </w:r>
      <w:r w:rsidRPr="000B7DB0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poskytnutia služieb</w:t>
      </w:r>
      <w:r w:rsidRPr="00751395">
        <w:rPr>
          <w:rFonts w:ascii="Times New Roman" w:eastAsiaTheme="minorHAnsi" w:hAnsi="Times New Roman"/>
          <w:color w:val="000000"/>
          <w:sz w:val="24"/>
          <w:szCs w:val="24"/>
        </w:rPr>
        <w:t xml:space="preserve">/uskutočnenia stavebných prác: </w:t>
      </w:r>
    </w:p>
    <w:p w14:paraId="438E78CC" w14:textId="674BB8D2" w:rsidR="00722CEC" w:rsidRDefault="00374351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Posky</w:t>
      </w:r>
      <w:r w:rsidR="002F5BDF">
        <w:rPr>
          <w:rFonts w:ascii="Times New Roman" w:eastAsiaTheme="minorHAnsi" w:hAnsi="Times New Roman"/>
          <w:color w:val="000000"/>
          <w:sz w:val="24"/>
          <w:szCs w:val="24"/>
        </w:rPr>
        <w:t>tnutie služby v rámci mest</w:t>
      </w:r>
      <w:r w:rsidR="003A4D7B">
        <w:rPr>
          <w:rFonts w:ascii="Times New Roman" w:eastAsiaTheme="minorHAnsi" w:hAnsi="Times New Roman"/>
          <w:color w:val="000000"/>
          <w:sz w:val="24"/>
          <w:szCs w:val="24"/>
        </w:rPr>
        <w:t>a Bratislava – v okruhu 4 km od sídla Úradu podpredsedu vlády SR pre investície a informatizáciu na Štefánikovej č. 15.</w:t>
      </w:r>
    </w:p>
    <w:p w14:paraId="7A823E83" w14:textId="6D0C058F" w:rsidR="004D4713" w:rsidRPr="00751395" w:rsidRDefault="004D4713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1A51C07" w14:textId="52C5B0FB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6. Výsledok verejného obstarávania:</w:t>
      </w:r>
    </w:p>
    <w:p w14:paraId="7B1BAFC6" w14:textId="1F139C72" w:rsidR="006713CD" w:rsidRDefault="00C60E9D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Zmluva o nájme nebytových priestorov</w:t>
      </w:r>
      <w:r w:rsidR="007A1A8E">
        <w:rPr>
          <w:rFonts w:ascii="Times New Roman" w:eastAsiaTheme="minorHAnsi" w:hAnsi="Times New Roman"/>
          <w:sz w:val="24"/>
          <w:szCs w:val="24"/>
        </w:rPr>
        <w:t xml:space="preserve"> na obdobie 60 mesiacov</w:t>
      </w:r>
    </w:p>
    <w:p w14:paraId="052D793F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C911E62" w14:textId="752F728E" w:rsidR="00722CEC" w:rsidRPr="00BB6B29" w:rsidRDefault="00D11647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7. O</w:t>
      </w:r>
      <w:r w:rsidR="00722CEC" w:rsidRPr="0075139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pis zákazky:</w:t>
      </w:r>
    </w:p>
    <w:p w14:paraId="08DE23FF" w14:textId="66EC3045" w:rsidR="00602BBC" w:rsidRPr="00BB6B29" w:rsidRDefault="00087472" w:rsidP="00087472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sz w:val="23"/>
          <w:szCs w:val="23"/>
        </w:rPr>
      </w:pPr>
      <w:r w:rsidRPr="00BB6B29">
        <w:rPr>
          <w:rFonts w:ascii="Times New Roman" w:eastAsia="Times New Roman" w:hAnsi="Times New Roman"/>
          <w:b/>
          <w:sz w:val="23"/>
          <w:szCs w:val="23"/>
        </w:rPr>
        <w:t>Technologické vybavenie budovy:</w:t>
      </w:r>
    </w:p>
    <w:p w14:paraId="4C7FB436" w14:textId="4437B69F" w:rsidR="007A1A8E" w:rsidRDefault="007A1A8E" w:rsidP="00B33E39">
      <w:pPr>
        <w:pStyle w:val="Odsekzoznamu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centrálny chladiaci a vykurovací systém</w:t>
      </w:r>
      <w:r w:rsidR="00087472" w:rsidRPr="00B33E39">
        <w:rPr>
          <w:rFonts w:ascii="Times New Roman" w:eastAsia="Times New Roman" w:hAnsi="Times New Roman"/>
          <w:sz w:val="23"/>
          <w:szCs w:val="23"/>
        </w:rPr>
        <w:t xml:space="preserve"> (nútené vetranie),</w:t>
      </w:r>
    </w:p>
    <w:p w14:paraId="5F9731F0" w14:textId="1C3BD367" w:rsidR="00087472" w:rsidRDefault="00B33E39" w:rsidP="00B33E39">
      <w:pPr>
        <w:pStyle w:val="Odsekzoznamu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zabezpečenie</w:t>
      </w:r>
      <w:r w:rsidR="00087472" w:rsidRPr="00B33E39">
        <w:rPr>
          <w:rFonts w:ascii="Times New Roman" w:eastAsia="Times New Roman" w:hAnsi="Times New Roman"/>
          <w:sz w:val="23"/>
          <w:szCs w:val="23"/>
        </w:rPr>
        <w:t xml:space="preserve"> kúrenia / chladenia priestorov (bez systému centrálnej vzduchotechniky) s možnosťou individuálnej regulácie,</w:t>
      </w:r>
    </w:p>
    <w:p w14:paraId="7EA2EF0A" w14:textId="45DE2831" w:rsidR="00D01E9F" w:rsidRDefault="00D01E9F" w:rsidP="00B33E39">
      <w:pPr>
        <w:pStyle w:val="Odsekzoznamu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tienenie zabezpečené žalúziami (interiérové alebo exteriérové)</w:t>
      </w:r>
    </w:p>
    <w:p w14:paraId="5151CFCB" w14:textId="57160153" w:rsidR="00087472" w:rsidRDefault="00087472" w:rsidP="00B33E39">
      <w:pPr>
        <w:pStyle w:val="Odsekzoznamu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individuálne meranie energií (elektrina, voda),</w:t>
      </w:r>
    </w:p>
    <w:p w14:paraId="5A31615E" w14:textId="75D4965D" w:rsidR="007A1A8E" w:rsidRDefault="007A1A8E" w:rsidP="00B33E39">
      <w:pPr>
        <w:pStyle w:val="Odsekzoznamu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elektrick</w:t>
      </w:r>
      <w:r w:rsidR="00087472" w:rsidRPr="00B33E39">
        <w:rPr>
          <w:rFonts w:ascii="Times New Roman" w:eastAsia="Times New Roman" w:hAnsi="Times New Roman"/>
          <w:sz w:val="23"/>
          <w:szCs w:val="23"/>
        </w:rPr>
        <w:t>é</w:t>
      </w:r>
      <w:r w:rsidRPr="00B33E39">
        <w:rPr>
          <w:rFonts w:ascii="Times New Roman" w:eastAsia="Times New Roman" w:hAnsi="Times New Roman"/>
          <w:sz w:val="23"/>
          <w:szCs w:val="23"/>
        </w:rPr>
        <w:t xml:space="preserve"> rozvod</w:t>
      </w:r>
      <w:r w:rsidR="00087472" w:rsidRPr="00B33E39">
        <w:rPr>
          <w:rFonts w:ascii="Times New Roman" w:eastAsia="Times New Roman" w:hAnsi="Times New Roman"/>
          <w:sz w:val="23"/>
          <w:szCs w:val="23"/>
        </w:rPr>
        <w:t>y– odrušené vrátane prepäťovej ochrany,</w:t>
      </w:r>
    </w:p>
    <w:p w14:paraId="77995928" w14:textId="50B7C0FF" w:rsidR="00087472" w:rsidRDefault="00087472" w:rsidP="00B33E39">
      <w:pPr>
        <w:pStyle w:val="Odsekzoznamu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záložný elektrický zdroj v budove,</w:t>
      </w:r>
    </w:p>
    <w:p w14:paraId="41581F49" w14:textId="77777777" w:rsidR="00087472" w:rsidRDefault="00087472" w:rsidP="00B33E39">
      <w:pPr>
        <w:pStyle w:val="Odsekzoznamu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osobné výťahy v prípade, že sa jedná o viacpodlažnú budovu</w:t>
      </w:r>
    </w:p>
    <w:p w14:paraId="1BBC1F21" w14:textId="5EFE4015" w:rsidR="007A1A8E" w:rsidRDefault="007A1A8E" w:rsidP="00B33E39">
      <w:pPr>
        <w:pStyle w:val="Odsekzoznamu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 xml:space="preserve">kryté parkovacie miesta v budove </w:t>
      </w:r>
      <w:r w:rsidR="00D01E9F" w:rsidRPr="00B33E39">
        <w:rPr>
          <w:rFonts w:ascii="Times New Roman" w:eastAsia="Times New Roman" w:hAnsi="Times New Roman"/>
          <w:sz w:val="23"/>
          <w:szCs w:val="23"/>
        </w:rPr>
        <w:t>alebo v bezprostrednej blízkosti budovy</w:t>
      </w:r>
      <w:r w:rsidR="003A4D7B">
        <w:rPr>
          <w:rFonts w:ascii="Times New Roman" w:eastAsia="Times New Roman" w:hAnsi="Times New Roman"/>
          <w:sz w:val="23"/>
          <w:szCs w:val="23"/>
        </w:rPr>
        <w:t xml:space="preserve"> (má sa na mysli max. do 100 m od budovy</w:t>
      </w:r>
      <w:r w:rsidR="00D01E9F" w:rsidRPr="00B33E39">
        <w:rPr>
          <w:rFonts w:ascii="Times New Roman" w:eastAsia="Times New Roman" w:hAnsi="Times New Roman"/>
          <w:sz w:val="23"/>
          <w:szCs w:val="23"/>
        </w:rPr>
        <w:t xml:space="preserve">, </w:t>
      </w:r>
      <w:r w:rsidRPr="00B33E39">
        <w:rPr>
          <w:rFonts w:ascii="Times New Roman" w:eastAsia="Times New Roman" w:hAnsi="Times New Roman"/>
          <w:sz w:val="23"/>
          <w:szCs w:val="23"/>
        </w:rPr>
        <w:t xml:space="preserve">minimálny počet </w:t>
      </w:r>
      <w:r w:rsidR="00087472" w:rsidRPr="00B33E39">
        <w:rPr>
          <w:rFonts w:ascii="Times New Roman" w:eastAsia="Times New Roman" w:hAnsi="Times New Roman"/>
          <w:sz w:val="23"/>
          <w:szCs w:val="23"/>
        </w:rPr>
        <w:t>2</w:t>
      </w:r>
      <w:r w:rsidR="00B111C5" w:rsidRPr="00B33E39">
        <w:rPr>
          <w:rFonts w:ascii="Times New Roman" w:eastAsia="Times New Roman" w:hAnsi="Times New Roman"/>
          <w:sz w:val="23"/>
          <w:szCs w:val="23"/>
        </w:rPr>
        <w:t>0</w:t>
      </w:r>
      <w:r w:rsidRPr="00B33E39">
        <w:rPr>
          <w:rFonts w:ascii="Times New Roman" w:eastAsia="Times New Roman" w:hAnsi="Times New Roman"/>
          <w:sz w:val="23"/>
          <w:szCs w:val="23"/>
        </w:rPr>
        <w:t xml:space="preserve"> </w:t>
      </w:r>
      <w:r w:rsidR="00B33E39" w:rsidRPr="00B33E39">
        <w:rPr>
          <w:rFonts w:ascii="Times New Roman" w:eastAsia="Times New Roman" w:hAnsi="Times New Roman"/>
          <w:sz w:val="23"/>
          <w:szCs w:val="23"/>
        </w:rPr>
        <w:t xml:space="preserve">parkovacích </w:t>
      </w:r>
      <w:r w:rsidRPr="00B33E39">
        <w:rPr>
          <w:rFonts w:ascii="Times New Roman" w:eastAsia="Times New Roman" w:hAnsi="Times New Roman"/>
          <w:sz w:val="23"/>
          <w:szCs w:val="23"/>
        </w:rPr>
        <w:t>miest</w:t>
      </w:r>
      <w:r w:rsidR="00D723A2" w:rsidRPr="00B33E39">
        <w:rPr>
          <w:rFonts w:ascii="Times New Roman" w:eastAsia="Times New Roman" w:hAnsi="Times New Roman"/>
          <w:sz w:val="23"/>
          <w:szCs w:val="23"/>
        </w:rPr>
        <w:t>,</w:t>
      </w:r>
    </w:p>
    <w:p w14:paraId="7F23627C" w14:textId="639D89B4" w:rsidR="00087472" w:rsidRDefault="00087472" w:rsidP="00B33E39">
      <w:pPr>
        <w:pStyle w:val="Odsekzoznamu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prístup pre hendikepované osoby</w:t>
      </w:r>
    </w:p>
    <w:p w14:paraId="6F898FC0" w14:textId="77777777" w:rsidR="00B33E39" w:rsidRPr="00B33E39" w:rsidRDefault="00B33E39" w:rsidP="00B33E39">
      <w:pPr>
        <w:pStyle w:val="Odsekzoznamu"/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/>
          <w:sz w:val="23"/>
          <w:szCs w:val="23"/>
        </w:rPr>
      </w:pPr>
    </w:p>
    <w:p w14:paraId="57656858" w14:textId="5A2C8D46" w:rsidR="00087472" w:rsidRPr="00BB6B29" w:rsidRDefault="007A1A8E" w:rsidP="00087472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 w:rsidRPr="00BB6B29">
        <w:rPr>
          <w:rFonts w:ascii="Times New Roman" w:eastAsia="Times New Roman" w:hAnsi="Times New Roman"/>
          <w:b/>
          <w:sz w:val="23"/>
          <w:szCs w:val="23"/>
        </w:rPr>
        <w:t>Lokalizácia</w:t>
      </w:r>
      <w:r w:rsidR="006938D0" w:rsidRPr="00BB6B29">
        <w:rPr>
          <w:rFonts w:ascii="Times New Roman" w:eastAsia="Times New Roman" w:hAnsi="Times New Roman"/>
          <w:b/>
          <w:sz w:val="23"/>
          <w:szCs w:val="23"/>
        </w:rPr>
        <w:t xml:space="preserve"> budovy</w:t>
      </w:r>
      <w:r w:rsidRPr="00BB6B29">
        <w:rPr>
          <w:rFonts w:ascii="Times New Roman" w:eastAsia="Times New Roman" w:hAnsi="Times New Roman"/>
          <w:b/>
          <w:sz w:val="23"/>
          <w:szCs w:val="23"/>
        </w:rPr>
        <w:t>:</w:t>
      </w:r>
      <w:r w:rsidRPr="00BB6B29">
        <w:rPr>
          <w:rFonts w:ascii="Times New Roman" w:eastAsia="Times New Roman" w:hAnsi="Times New Roman"/>
          <w:sz w:val="23"/>
          <w:szCs w:val="23"/>
        </w:rPr>
        <w:t xml:space="preserve"> </w:t>
      </w:r>
    </w:p>
    <w:p w14:paraId="0FDF9B87" w14:textId="5611C524" w:rsidR="00087472" w:rsidRDefault="00087472" w:rsidP="003A4D7B">
      <w:pPr>
        <w:pStyle w:val="Odsekzoznamu"/>
        <w:widowControl w:val="0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 xml:space="preserve">lokalizácia Bratislava </w:t>
      </w:r>
      <w:r w:rsidR="003A4D7B" w:rsidRPr="003A4D7B">
        <w:rPr>
          <w:rFonts w:ascii="Times New Roman" w:eastAsia="Times New Roman" w:hAnsi="Times New Roman"/>
          <w:sz w:val="23"/>
          <w:szCs w:val="23"/>
        </w:rPr>
        <w:t>– v okruhu 4 km od sídla Úradu podpredsedu vlády SR pre investície a informatizáciu na Štefánikovej č. 15</w:t>
      </w:r>
      <w:r w:rsidR="003A4D7B">
        <w:rPr>
          <w:rFonts w:ascii="Times New Roman" w:eastAsia="Times New Roman" w:hAnsi="Times New Roman"/>
          <w:sz w:val="23"/>
          <w:szCs w:val="23"/>
        </w:rPr>
        <w:t xml:space="preserve">; </w:t>
      </w:r>
      <w:r w:rsidRPr="00B33E39">
        <w:rPr>
          <w:rFonts w:ascii="Times New Roman" w:eastAsia="Times New Roman" w:hAnsi="Times New Roman"/>
          <w:sz w:val="23"/>
          <w:szCs w:val="23"/>
        </w:rPr>
        <w:t>v</w:t>
      </w:r>
      <w:r w:rsidR="00D01E9F" w:rsidRPr="00B33E39">
        <w:rPr>
          <w:rFonts w:ascii="Times New Roman" w:eastAsia="Times New Roman" w:hAnsi="Times New Roman"/>
          <w:sz w:val="23"/>
          <w:szCs w:val="23"/>
        </w:rPr>
        <w:t xml:space="preserve"> dopravnej </w:t>
      </w:r>
      <w:r w:rsidRPr="00B33E39">
        <w:rPr>
          <w:rFonts w:ascii="Times New Roman" w:eastAsia="Times New Roman" w:hAnsi="Times New Roman"/>
          <w:sz w:val="23"/>
          <w:szCs w:val="23"/>
        </w:rPr>
        <w:t>dostupnosti aktuálneho</w:t>
      </w:r>
      <w:r w:rsidR="00B33E39" w:rsidRPr="00B33E39">
        <w:rPr>
          <w:rFonts w:ascii="Times New Roman" w:eastAsia="Times New Roman" w:hAnsi="Times New Roman"/>
          <w:sz w:val="23"/>
          <w:szCs w:val="23"/>
        </w:rPr>
        <w:t xml:space="preserve"> sídla úradu</w:t>
      </w:r>
      <w:r w:rsidR="003A4D7B">
        <w:rPr>
          <w:rFonts w:ascii="Times New Roman" w:eastAsia="Times New Roman" w:hAnsi="Times New Roman"/>
          <w:sz w:val="23"/>
          <w:szCs w:val="23"/>
        </w:rPr>
        <w:t xml:space="preserve"> (pešia dostupnosť </w:t>
      </w:r>
      <w:r w:rsidR="00BE5119">
        <w:rPr>
          <w:rFonts w:ascii="Times New Roman" w:eastAsia="Times New Roman" w:hAnsi="Times New Roman"/>
          <w:sz w:val="23"/>
          <w:szCs w:val="23"/>
        </w:rPr>
        <w:t>zastávok</w:t>
      </w:r>
      <w:r w:rsidR="003A4D7B">
        <w:rPr>
          <w:rFonts w:ascii="Times New Roman" w:eastAsia="Times New Roman" w:hAnsi="Times New Roman"/>
          <w:sz w:val="23"/>
          <w:szCs w:val="23"/>
        </w:rPr>
        <w:t xml:space="preserve"> MHD do 5 min.)</w:t>
      </w:r>
      <w:r w:rsidR="00B33E39" w:rsidRPr="00B33E39">
        <w:rPr>
          <w:rFonts w:ascii="Times New Roman" w:eastAsia="Times New Roman" w:hAnsi="Times New Roman"/>
          <w:sz w:val="23"/>
          <w:szCs w:val="23"/>
        </w:rPr>
        <w:t xml:space="preserve"> </w:t>
      </w:r>
      <w:r w:rsidRPr="00B33E39">
        <w:rPr>
          <w:rFonts w:ascii="Times New Roman" w:eastAsia="Times New Roman" w:hAnsi="Times New Roman"/>
          <w:sz w:val="23"/>
          <w:szCs w:val="23"/>
        </w:rPr>
        <w:t>s občianskou vybavenosťou okolia (napr. možnosti stravovania)</w:t>
      </w:r>
    </w:p>
    <w:p w14:paraId="72F188E0" w14:textId="2AD42D64" w:rsidR="00087472" w:rsidRDefault="00087472" w:rsidP="00B33E39">
      <w:pPr>
        <w:pStyle w:val="Odsekzoznamu"/>
        <w:widowControl w:val="0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možnosť bezplatného parkovania v okolí budovy</w:t>
      </w:r>
    </w:p>
    <w:p w14:paraId="3A99195F" w14:textId="77777777" w:rsidR="00B33E39" w:rsidRPr="00B33E39" w:rsidRDefault="00B33E39" w:rsidP="00B33E39">
      <w:pPr>
        <w:pStyle w:val="Odsekzoznamu"/>
        <w:widowControl w:val="0"/>
        <w:spacing w:after="0" w:line="240" w:lineRule="auto"/>
        <w:ind w:left="360" w:right="-20"/>
        <w:rPr>
          <w:rFonts w:ascii="Times New Roman" w:eastAsia="Times New Roman" w:hAnsi="Times New Roman"/>
          <w:sz w:val="23"/>
          <w:szCs w:val="23"/>
        </w:rPr>
      </w:pPr>
    </w:p>
    <w:p w14:paraId="6E069ED3" w14:textId="0C0FC5B3" w:rsidR="006938D0" w:rsidRPr="00BB6B29" w:rsidRDefault="006938D0" w:rsidP="006938D0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sz w:val="23"/>
          <w:szCs w:val="23"/>
        </w:rPr>
      </w:pPr>
      <w:r w:rsidRPr="00BB6B29">
        <w:rPr>
          <w:rFonts w:ascii="Times New Roman" w:eastAsia="Times New Roman" w:hAnsi="Times New Roman"/>
          <w:b/>
          <w:sz w:val="23"/>
          <w:szCs w:val="23"/>
        </w:rPr>
        <w:t>Bezpečnostné zabezpečenie budovy:</w:t>
      </w:r>
    </w:p>
    <w:p w14:paraId="067A2AA8" w14:textId="77777777" w:rsidR="006938D0" w:rsidRDefault="006938D0" w:rsidP="00B33E39">
      <w:pPr>
        <w:pStyle w:val="Odsekzoznamu"/>
        <w:widowControl w:val="0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centrálny prístupový systém s detailným sledovaním prístupov,  s možnosťou rozšírenia na jednotlivé podlažia,</w:t>
      </w:r>
    </w:p>
    <w:p w14:paraId="4219698D" w14:textId="5D20AEAF" w:rsidR="003A4D7B" w:rsidRDefault="003A4D7B" w:rsidP="00B33E39">
      <w:pPr>
        <w:pStyle w:val="Odsekzoznamu"/>
        <w:widowControl w:val="0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lastRenderedPageBreak/>
        <w:t> zabezpečenie budovy kamerovým systémom,</w:t>
      </w:r>
    </w:p>
    <w:p w14:paraId="17C31D0A" w14:textId="148187D7" w:rsidR="006938D0" w:rsidRDefault="006938D0" w:rsidP="00B33E39">
      <w:pPr>
        <w:pStyle w:val="Odsekzoznamu"/>
        <w:widowControl w:val="0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služby recepcie počas pracovnej doby (7:</w:t>
      </w:r>
      <w:r w:rsidR="00623BFA">
        <w:rPr>
          <w:rFonts w:ascii="Times New Roman" w:eastAsia="Times New Roman" w:hAnsi="Times New Roman"/>
          <w:sz w:val="23"/>
          <w:szCs w:val="23"/>
        </w:rPr>
        <w:t>30</w:t>
      </w:r>
      <w:r w:rsidRPr="00B33E39">
        <w:rPr>
          <w:rFonts w:ascii="Times New Roman" w:eastAsia="Times New Roman" w:hAnsi="Times New Roman"/>
          <w:sz w:val="23"/>
          <w:szCs w:val="23"/>
        </w:rPr>
        <w:t xml:space="preserve"> – 18:00) a 24 hodinová strážna služba,</w:t>
      </w:r>
    </w:p>
    <w:p w14:paraId="70735564" w14:textId="20290E99" w:rsidR="006938D0" w:rsidRPr="00B33E39" w:rsidRDefault="00B21E11" w:rsidP="00B33E39">
      <w:pPr>
        <w:pStyle w:val="Odsekzoznamu"/>
        <w:widowControl w:val="0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elektronický</w:t>
      </w:r>
      <w:r w:rsidR="006938D0" w:rsidRPr="00B33E39">
        <w:rPr>
          <w:rFonts w:ascii="Times New Roman" w:eastAsia="Times New Roman" w:hAnsi="Times New Roman"/>
          <w:sz w:val="23"/>
          <w:szCs w:val="23"/>
        </w:rPr>
        <w:t xml:space="preserve"> prístupový systém na vstupných dverách do priestorov</w:t>
      </w:r>
    </w:p>
    <w:p w14:paraId="66A28E69" w14:textId="60D4279D" w:rsidR="006938D0" w:rsidRPr="00BB6B29" w:rsidRDefault="006938D0" w:rsidP="006938D0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</w:p>
    <w:p w14:paraId="22E829AA" w14:textId="77777777" w:rsidR="006938D0" w:rsidRPr="00BB6B29" w:rsidRDefault="006938D0" w:rsidP="006938D0">
      <w:pPr>
        <w:widowControl w:val="0"/>
        <w:jc w:val="both"/>
        <w:rPr>
          <w:rFonts w:ascii="Times New Roman" w:eastAsia="Times New Roman" w:hAnsi="Times New Roman"/>
          <w:sz w:val="23"/>
          <w:szCs w:val="23"/>
        </w:rPr>
      </w:pPr>
      <w:r w:rsidRPr="00BB6B29">
        <w:rPr>
          <w:rFonts w:ascii="Times New Roman" w:eastAsia="Times New Roman" w:hAnsi="Times New Roman"/>
          <w:sz w:val="23"/>
          <w:szCs w:val="23"/>
        </w:rPr>
        <w:t xml:space="preserve">Prenajímateľ zabezpečí údržbu, opravy, úpravy a servis technologických zariadení a rozvodových systémov (mechanické, elektrické, vykurovacie, vzduchotechnické, výťahové, odpadové, sanitárne, bezpečnostné, telefónne a iné systémy) slúžiacich prenajatým priestorom (s výnimkou systémov a zariadení resp. ich častí inštalovaných alebo vnesených Úradom) </w:t>
      </w:r>
    </w:p>
    <w:p w14:paraId="4441498E" w14:textId="0A7E6A8E" w:rsidR="007A1A8E" w:rsidRDefault="00B86D00" w:rsidP="007A1A8E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Arial"/>
          <w:sz w:val="24"/>
          <w:szCs w:val="24"/>
          <w:lang w:eastAsia="sk-SK"/>
        </w:rPr>
      </w:pPr>
      <w:r w:rsidRPr="00BB6B29">
        <w:rPr>
          <w:rFonts w:ascii="Times New Roman" w:eastAsia="Times New Roman" w:hAnsi="Times New Roman"/>
          <w:b/>
        </w:rPr>
        <w:t>Požiadavky na interiér a kancelárske priestory vo vyššie uvedenej budove</w:t>
      </w:r>
      <w:r w:rsidR="007A1A8E" w:rsidRPr="00BB6B29">
        <w:rPr>
          <w:rFonts w:ascii="Times New Roman" w:eastAsiaTheme="minorHAnsi" w:hAnsi="Times New Roman" w:cs="Arial"/>
          <w:sz w:val="24"/>
          <w:szCs w:val="24"/>
          <w:lang w:eastAsia="sk-SK"/>
        </w:rPr>
        <w:t>:</w:t>
      </w:r>
    </w:p>
    <w:p w14:paraId="17F330D7" w14:textId="77777777" w:rsidR="00B33E39" w:rsidRDefault="00B33E39" w:rsidP="00B33E39">
      <w:pPr>
        <w:pStyle w:val="Hlavika"/>
        <w:widowControl w:val="0"/>
        <w:ind w:right="-20"/>
        <w:jc w:val="both"/>
        <w:rPr>
          <w:rFonts w:eastAsiaTheme="minorHAnsi" w:cs="Arial"/>
          <w:lang w:eastAsia="sk-SK"/>
        </w:rPr>
      </w:pPr>
    </w:p>
    <w:p w14:paraId="56E0891F" w14:textId="7615DE6B" w:rsidR="007A1A8E" w:rsidRDefault="007A1A8E" w:rsidP="00B33E39">
      <w:pPr>
        <w:pStyle w:val="Hlavika"/>
        <w:widowControl w:val="0"/>
        <w:numPr>
          <w:ilvl w:val="0"/>
          <w:numId w:val="11"/>
        </w:numPr>
        <w:ind w:right="-20"/>
        <w:jc w:val="both"/>
        <w:rPr>
          <w:sz w:val="23"/>
          <w:szCs w:val="23"/>
        </w:rPr>
      </w:pPr>
      <w:r w:rsidRPr="00BB6B29">
        <w:rPr>
          <w:sz w:val="23"/>
          <w:szCs w:val="23"/>
        </w:rPr>
        <w:t xml:space="preserve">ponúkaná prenajímateľná plocha </w:t>
      </w:r>
      <w:r w:rsidR="00B86D00" w:rsidRPr="00BB6B29">
        <w:rPr>
          <w:sz w:val="23"/>
          <w:szCs w:val="23"/>
        </w:rPr>
        <w:t>1000 – 1500 m2</w:t>
      </w:r>
      <w:r w:rsidR="00667478">
        <w:rPr>
          <w:sz w:val="23"/>
          <w:szCs w:val="23"/>
        </w:rPr>
        <w:t xml:space="preserve"> kancelárskych priestorov</w:t>
      </w:r>
      <w:r w:rsidR="00B86D00" w:rsidRPr="00BB6B29">
        <w:rPr>
          <w:sz w:val="23"/>
          <w:szCs w:val="23"/>
        </w:rPr>
        <w:t xml:space="preserve"> - plocha zodpovedajúca primeranej potrebe administratívnych priestorov z hľadiska dispozičného riešenia pracoviska pozostávajúceho z pracovných stolov, dostatočného interiérového vybavenia a pracovnej techniky vrátane zázemia pozostávajúceho z vnútorných komunikačných priestorov, sociálnych zariadení a</w:t>
      </w:r>
      <w:r w:rsidR="00C85B2C">
        <w:rPr>
          <w:sz w:val="23"/>
          <w:szCs w:val="23"/>
        </w:rPr>
        <w:t> </w:t>
      </w:r>
      <w:r w:rsidR="00B86D00" w:rsidRPr="00BB6B29">
        <w:rPr>
          <w:sz w:val="23"/>
          <w:szCs w:val="23"/>
        </w:rPr>
        <w:t>pod</w:t>
      </w:r>
      <w:r w:rsidR="00C85B2C">
        <w:rPr>
          <w:sz w:val="23"/>
          <w:szCs w:val="23"/>
        </w:rPr>
        <w:t>.</w:t>
      </w:r>
      <w:r w:rsidR="00B86D00" w:rsidRPr="00BB6B29">
        <w:rPr>
          <w:sz w:val="23"/>
          <w:szCs w:val="23"/>
        </w:rPr>
        <w:t xml:space="preserve"> v zmysle Nariadenia vlády Slovenskej republiky č. 391/2006 Z. z. o minimálnych bezpečnostných a zdravotných požiadavkách na pracovisko a príslušných hygienických noriem pre približne 100 zamestnancov,</w:t>
      </w:r>
    </w:p>
    <w:p w14:paraId="358A3C09" w14:textId="2AE89628" w:rsidR="000819F0" w:rsidRPr="00667478" w:rsidRDefault="00E02349" w:rsidP="00667478">
      <w:pPr>
        <w:pStyle w:val="Hlavika"/>
        <w:widowControl w:val="0"/>
        <w:numPr>
          <w:ilvl w:val="0"/>
          <w:numId w:val="11"/>
        </w:numPr>
        <w:ind w:right="-20"/>
        <w:jc w:val="both"/>
        <w:rPr>
          <w:sz w:val="23"/>
          <w:szCs w:val="23"/>
        </w:rPr>
      </w:pPr>
      <w:r w:rsidRPr="00B33E39">
        <w:rPr>
          <w:sz w:val="23"/>
          <w:szCs w:val="23"/>
        </w:rPr>
        <w:t>možnosť vetrania oknami pre všetky kancelárie</w:t>
      </w:r>
    </w:p>
    <w:p w14:paraId="3112BBAA" w14:textId="5ADFE5E1" w:rsidR="00E02349" w:rsidRDefault="00E02349" w:rsidP="00B33E39">
      <w:pPr>
        <w:pStyle w:val="Hlavika"/>
        <w:widowControl w:val="0"/>
        <w:numPr>
          <w:ilvl w:val="0"/>
          <w:numId w:val="11"/>
        </w:numPr>
        <w:ind w:right="-20"/>
        <w:jc w:val="both"/>
        <w:rPr>
          <w:sz w:val="23"/>
          <w:szCs w:val="23"/>
        </w:rPr>
      </w:pPr>
      <w:r w:rsidRPr="00B33E39">
        <w:rPr>
          <w:sz w:val="23"/>
          <w:szCs w:val="23"/>
        </w:rPr>
        <w:t>podlaha pokrytá kobercom, PVC a/alebo keramickými dlaždicami podľa charakteru miestností</w:t>
      </w:r>
    </w:p>
    <w:p w14:paraId="5A82DAB4" w14:textId="23B17674" w:rsidR="00E02349" w:rsidRDefault="00BE5119" w:rsidP="00B33E39">
      <w:pPr>
        <w:pStyle w:val="Hlavika"/>
        <w:widowControl w:val="0"/>
        <w:numPr>
          <w:ilvl w:val="0"/>
          <w:numId w:val="11"/>
        </w:numPr>
        <w:ind w:right="-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 min. 1 </w:t>
      </w:r>
      <w:r w:rsidR="00E02349" w:rsidRPr="00B33E39">
        <w:rPr>
          <w:sz w:val="23"/>
          <w:szCs w:val="23"/>
        </w:rPr>
        <w:t>technická miestnosť pre upratovaciu službu</w:t>
      </w:r>
    </w:p>
    <w:p w14:paraId="7EF95661" w14:textId="3F3688CE" w:rsidR="007A1A8E" w:rsidRDefault="00E02349" w:rsidP="00B33E39">
      <w:pPr>
        <w:pStyle w:val="Hlavika"/>
        <w:widowControl w:val="0"/>
        <w:numPr>
          <w:ilvl w:val="0"/>
          <w:numId w:val="11"/>
        </w:numPr>
        <w:ind w:right="-20"/>
        <w:jc w:val="both"/>
        <w:rPr>
          <w:sz w:val="23"/>
          <w:szCs w:val="23"/>
        </w:rPr>
      </w:pPr>
      <w:r w:rsidRPr="00B33E39">
        <w:rPr>
          <w:sz w:val="23"/>
          <w:szCs w:val="23"/>
        </w:rPr>
        <w:t xml:space="preserve">ponúkaná prenajímateľná plocha v stave štandard s </w:t>
      </w:r>
      <w:r w:rsidR="007A1A8E" w:rsidRPr="00B33E39">
        <w:rPr>
          <w:sz w:val="23"/>
          <w:szCs w:val="23"/>
        </w:rPr>
        <w:t>flexibiln</w:t>
      </w:r>
      <w:r w:rsidRPr="00B33E39">
        <w:rPr>
          <w:sz w:val="23"/>
          <w:szCs w:val="23"/>
        </w:rPr>
        <w:t>ou dispozíciou</w:t>
      </w:r>
      <w:r w:rsidR="007A1A8E" w:rsidRPr="00B33E39">
        <w:rPr>
          <w:sz w:val="23"/>
          <w:szCs w:val="23"/>
        </w:rPr>
        <w:t xml:space="preserve"> – možnosť</w:t>
      </w:r>
      <w:r w:rsidRPr="00B33E39">
        <w:rPr>
          <w:sz w:val="23"/>
          <w:szCs w:val="23"/>
        </w:rPr>
        <w:t>ou</w:t>
      </w:r>
      <w:r w:rsidR="007A1A8E" w:rsidRPr="00B33E39">
        <w:rPr>
          <w:sz w:val="23"/>
          <w:szCs w:val="23"/>
        </w:rPr>
        <w:t xml:space="preserve"> prispôsobovať stavebnými úpravami</w:t>
      </w:r>
      <w:r w:rsidR="00874C10">
        <w:rPr>
          <w:sz w:val="23"/>
          <w:szCs w:val="23"/>
        </w:rPr>
        <w:t xml:space="preserve"> –</w:t>
      </w:r>
      <w:r w:rsidR="007A1A8E" w:rsidRPr="00B33E39">
        <w:rPr>
          <w:sz w:val="23"/>
          <w:szCs w:val="23"/>
        </w:rPr>
        <w:t xml:space="preserve"> </w:t>
      </w:r>
      <w:r w:rsidRPr="00B33E39">
        <w:rPr>
          <w:sz w:val="23"/>
          <w:szCs w:val="23"/>
        </w:rPr>
        <w:t>sadrokartónovými alebo sklenenými priečkami na kancelárie, zasadacie miestnosti a iné priestory podľa požiadaviek nájomcu</w:t>
      </w:r>
      <w:r w:rsidR="007A1A8E" w:rsidRPr="00B33E39">
        <w:rPr>
          <w:sz w:val="23"/>
          <w:szCs w:val="23"/>
        </w:rPr>
        <w:t>,</w:t>
      </w:r>
    </w:p>
    <w:p w14:paraId="52BE2E94" w14:textId="2169ECF1" w:rsidR="00B33E39" w:rsidRPr="00B33E39" w:rsidRDefault="00E02349" w:rsidP="00F02628">
      <w:pPr>
        <w:pStyle w:val="Hlavika"/>
        <w:widowControl w:val="0"/>
        <w:numPr>
          <w:ilvl w:val="0"/>
          <w:numId w:val="11"/>
        </w:numPr>
        <w:ind w:right="-20"/>
        <w:jc w:val="both"/>
        <w:rPr>
          <w:sz w:val="23"/>
          <w:szCs w:val="23"/>
        </w:rPr>
      </w:pPr>
      <w:r w:rsidRPr="00B33E39">
        <w:rPr>
          <w:sz w:val="23"/>
          <w:szCs w:val="23"/>
        </w:rPr>
        <w:t xml:space="preserve">v prípade viacpodlažnej budovy, každé poschodie budovy musí byť </w:t>
      </w:r>
      <w:r w:rsidR="00F02628">
        <w:rPr>
          <w:sz w:val="23"/>
          <w:szCs w:val="23"/>
        </w:rPr>
        <w:t xml:space="preserve">v súlade s </w:t>
      </w:r>
      <w:r w:rsidR="00F02628" w:rsidRPr="00F02628">
        <w:rPr>
          <w:sz w:val="23"/>
          <w:szCs w:val="23"/>
        </w:rPr>
        <w:t>Nariadením vlády Slovenskej republiky č. 391/2006 Z. z. o minimálnych bezpečnostných a zdravotných požiadav</w:t>
      </w:r>
      <w:r w:rsidR="00F02628">
        <w:rPr>
          <w:sz w:val="23"/>
          <w:szCs w:val="23"/>
        </w:rPr>
        <w:t>kách na pracovisko a príslušnými hygienickými normami</w:t>
      </w:r>
      <w:r w:rsidR="00F02628" w:rsidRPr="00F02628">
        <w:rPr>
          <w:sz w:val="23"/>
          <w:szCs w:val="23"/>
        </w:rPr>
        <w:t xml:space="preserve"> </w:t>
      </w:r>
      <w:r w:rsidRPr="00B33E39">
        <w:rPr>
          <w:sz w:val="23"/>
          <w:szCs w:val="23"/>
        </w:rPr>
        <w:t>vybavené príslušným počtom:</w:t>
      </w:r>
    </w:p>
    <w:p w14:paraId="46E5F973" w14:textId="5FA970CC" w:rsidR="00E02349" w:rsidRDefault="00E02349" w:rsidP="00E27568">
      <w:pPr>
        <w:pStyle w:val="Odsekzoznamu"/>
        <w:widowControl w:val="0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 w:rsidRPr="00BB6B29">
        <w:rPr>
          <w:rFonts w:ascii="Times New Roman" w:eastAsia="Times New Roman" w:hAnsi="Times New Roman"/>
          <w:sz w:val="23"/>
          <w:szCs w:val="23"/>
        </w:rPr>
        <w:t>sociálnych zariadení na každom podlaží v zmysle platných predpisov,</w:t>
      </w:r>
    </w:p>
    <w:p w14:paraId="75A29AA7" w14:textId="3F0F3F96" w:rsidR="00B33E39" w:rsidRPr="00E27568" w:rsidRDefault="00E02349" w:rsidP="00E27568">
      <w:pPr>
        <w:pStyle w:val="Odsekzoznamu"/>
        <w:widowControl w:val="0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 w:rsidRPr="00E27568">
        <w:rPr>
          <w:rFonts w:ascii="Times New Roman" w:eastAsia="Times New Roman" w:hAnsi="Times New Roman"/>
          <w:sz w:val="23"/>
          <w:szCs w:val="23"/>
        </w:rPr>
        <w:t>kuchyniek</w:t>
      </w:r>
      <w:r w:rsidR="00F02628" w:rsidRPr="00E27568">
        <w:rPr>
          <w:rFonts w:ascii="Times New Roman" w:eastAsia="Times New Roman" w:hAnsi="Times New Roman"/>
          <w:sz w:val="23"/>
          <w:szCs w:val="23"/>
        </w:rPr>
        <w:t>,</w:t>
      </w:r>
      <w:r w:rsidR="000C7308">
        <w:rPr>
          <w:rFonts w:ascii="Times New Roman" w:eastAsia="Times New Roman" w:hAnsi="Times New Roman"/>
          <w:sz w:val="23"/>
          <w:szCs w:val="23"/>
        </w:rPr>
        <w:t xml:space="preserve"> </w:t>
      </w:r>
      <w:r w:rsidRPr="00E27568">
        <w:rPr>
          <w:rFonts w:ascii="Times New Roman" w:eastAsia="Times New Roman" w:hAnsi="Times New Roman"/>
          <w:sz w:val="23"/>
          <w:szCs w:val="23"/>
        </w:rPr>
        <w:t>vrátane spotrebičov - umývačka  riadu, chladnička, mikrovlnná rúra</w:t>
      </w:r>
    </w:p>
    <w:p w14:paraId="3CF62C85" w14:textId="31D3912F" w:rsidR="00BE5119" w:rsidRDefault="00E02349" w:rsidP="00E27568">
      <w:pPr>
        <w:pStyle w:val="Odsekzoznamu"/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0C7308">
        <w:rPr>
          <w:rFonts w:ascii="Times New Roman" w:eastAsia="Times New Roman" w:hAnsi="Times New Roman"/>
          <w:sz w:val="23"/>
          <w:szCs w:val="23"/>
        </w:rPr>
        <w:t xml:space="preserve">priestory zariadené kancelárskym nábytkom zodpovedajúcim bežnému administratívnemu štandardu, </w:t>
      </w:r>
      <w:r w:rsidR="000C7308" w:rsidRPr="000C7308">
        <w:rPr>
          <w:rFonts w:ascii="Times New Roman" w:eastAsia="Times New Roman" w:hAnsi="Times New Roman"/>
          <w:sz w:val="23"/>
          <w:szCs w:val="23"/>
        </w:rPr>
        <w:t xml:space="preserve">pri zohľadnení skutočnosti, že prenájom priestorov je určený pre približne 100 zamestnancov. </w:t>
      </w:r>
      <w:r w:rsidR="00BE5119">
        <w:rPr>
          <w:rFonts w:ascii="Times New Roman" w:eastAsia="Times New Roman" w:hAnsi="Times New Roman"/>
          <w:sz w:val="23"/>
          <w:szCs w:val="23"/>
        </w:rPr>
        <w:t xml:space="preserve">Min. rozsah požiadaviek vo vzťahu ku skladbe </w:t>
      </w:r>
      <w:r w:rsidR="000C7308" w:rsidRPr="000C7308">
        <w:rPr>
          <w:rFonts w:ascii="Times New Roman" w:eastAsia="Times New Roman" w:hAnsi="Times New Roman"/>
          <w:sz w:val="23"/>
          <w:szCs w:val="23"/>
        </w:rPr>
        <w:t>kancelárskeho nábytku</w:t>
      </w:r>
      <w:r w:rsidR="00BE5119">
        <w:rPr>
          <w:rFonts w:ascii="Times New Roman" w:eastAsia="Times New Roman" w:hAnsi="Times New Roman"/>
          <w:sz w:val="23"/>
          <w:szCs w:val="23"/>
        </w:rPr>
        <w:t xml:space="preserve"> na 1 pracovné miesto je nasledovný</w:t>
      </w:r>
      <w:r w:rsidR="000C7308" w:rsidRPr="000C7308">
        <w:rPr>
          <w:rFonts w:ascii="Times New Roman" w:eastAsia="Times New Roman" w:hAnsi="Times New Roman"/>
          <w:sz w:val="23"/>
          <w:szCs w:val="23"/>
        </w:rPr>
        <w:t xml:space="preserve">: </w:t>
      </w:r>
    </w:p>
    <w:p w14:paraId="1C757B23" w14:textId="63FBDD1E" w:rsidR="004D3CA2" w:rsidRPr="004D3CA2" w:rsidRDefault="004D3CA2" w:rsidP="004D3CA2">
      <w:pPr>
        <w:pStyle w:val="Odsekzoznamu"/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E5119">
        <w:rPr>
          <w:rFonts w:ascii="Times New Roman" w:eastAsia="Times New Roman" w:hAnsi="Times New Roman"/>
          <w:sz w:val="23"/>
          <w:szCs w:val="23"/>
        </w:rPr>
        <w:t>•</w:t>
      </w:r>
      <w:r>
        <w:rPr>
          <w:rFonts w:ascii="Times New Roman" w:eastAsia="Times New Roman" w:hAnsi="Times New Roman"/>
          <w:sz w:val="23"/>
          <w:szCs w:val="23"/>
        </w:rPr>
        <w:t xml:space="preserve">         </w:t>
      </w:r>
      <w:r w:rsidRPr="00BE5119">
        <w:rPr>
          <w:rFonts w:ascii="Times New Roman" w:eastAsia="Times New Roman" w:hAnsi="Times New Roman"/>
          <w:sz w:val="23"/>
          <w:szCs w:val="23"/>
        </w:rPr>
        <w:t xml:space="preserve">Stôl s rozmermi </w:t>
      </w:r>
      <w:r w:rsidR="00B21E11">
        <w:rPr>
          <w:rFonts w:ascii="Times New Roman" w:eastAsia="Times New Roman" w:hAnsi="Times New Roman"/>
          <w:sz w:val="23"/>
          <w:szCs w:val="23"/>
        </w:rPr>
        <w:t>š</w:t>
      </w:r>
      <w:r w:rsidRPr="00BE5119">
        <w:rPr>
          <w:rFonts w:ascii="Times New Roman" w:eastAsia="Times New Roman" w:hAnsi="Times New Roman"/>
          <w:sz w:val="23"/>
          <w:szCs w:val="23"/>
        </w:rPr>
        <w:t>1200/</w:t>
      </w:r>
      <w:r w:rsidR="00B21E11">
        <w:rPr>
          <w:rFonts w:ascii="Times New Roman" w:eastAsia="Times New Roman" w:hAnsi="Times New Roman"/>
          <w:sz w:val="23"/>
          <w:szCs w:val="23"/>
        </w:rPr>
        <w:t>h</w:t>
      </w:r>
      <w:r w:rsidRPr="00BE5119">
        <w:rPr>
          <w:rFonts w:ascii="Times New Roman" w:eastAsia="Times New Roman" w:hAnsi="Times New Roman"/>
          <w:sz w:val="23"/>
          <w:szCs w:val="23"/>
        </w:rPr>
        <w:t>800/</w:t>
      </w:r>
      <w:r w:rsidR="00B21E11">
        <w:rPr>
          <w:rFonts w:ascii="Times New Roman" w:eastAsia="Times New Roman" w:hAnsi="Times New Roman"/>
          <w:sz w:val="23"/>
          <w:szCs w:val="23"/>
        </w:rPr>
        <w:t>v</w:t>
      </w:r>
      <w:r w:rsidRPr="00BE5119">
        <w:rPr>
          <w:rFonts w:ascii="Times New Roman" w:eastAsia="Times New Roman" w:hAnsi="Times New Roman"/>
          <w:sz w:val="23"/>
          <w:szCs w:val="23"/>
        </w:rPr>
        <w:t>750</w:t>
      </w:r>
    </w:p>
    <w:p w14:paraId="4B9FF216" w14:textId="75860750" w:rsidR="004D3CA2" w:rsidRPr="004D3CA2" w:rsidRDefault="00BE5119" w:rsidP="004D3CA2">
      <w:pPr>
        <w:pStyle w:val="Odsekzoznamu"/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E5119">
        <w:rPr>
          <w:rFonts w:ascii="Times New Roman" w:eastAsia="Times New Roman" w:hAnsi="Times New Roman"/>
          <w:sz w:val="23"/>
          <w:szCs w:val="23"/>
        </w:rPr>
        <w:t>•         Nastaviteľná stolička</w:t>
      </w:r>
    </w:p>
    <w:p w14:paraId="7A93D812" w14:textId="2FF6EAC2" w:rsidR="00BE5119" w:rsidRPr="00BE5119" w:rsidRDefault="00BE5119" w:rsidP="00BE5119">
      <w:pPr>
        <w:pStyle w:val="Odsekzoznamu"/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E5119">
        <w:rPr>
          <w:rFonts w:ascii="Times New Roman" w:eastAsia="Times New Roman" w:hAnsi="Times New Roman"/>
          <w:sz w:val="23"/>
          <w:szCs w:val="23"/>
        </w:rPr>
        <w:t>•         Stolová lampa</w:t>
      </w:r>
    </w:p>
    <w:p w14:paraId="14D51637" w14:textId="0A2B6B63" w:rsidR="00BE5119" w:rsidRPr="00BE5119" w:rsidRDefault="00BE5119" w:rsidP="00BE5119">
      <w:pPr>
        <w:pStyle w:val="Odsekzoznamu"/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E5119">
        <w:rPr>
          <w:rFonts w:ascii="Times New Roman" w:eastAsia="Times New Roman" w:hAnsi="Times New Roman"/>
          <w:sz w:val="23"/>
          <w:szCs w:val="23"/>
        </w:rPr>
        <w:t xml:space="preserve">•         </w:t>
      </w:r>
      <w:r w:rsidR="00B21E11">
        <w:rPr>
          <w:rFonts w:ascii="Times New Roman" w:eastAsia="Times New Roman" w:hAnsi="Times New Roman"/>
          <w:sz w:val="23"/>
          <w:szCs w:val="23"/>
        </w:rPr>
        <w:t xml:space="preserve">min </w:t>
      </w:r>
      <w:r w:rsidRPr="00BE5119">
        <w:rPr>
          <w:rFonts w:ascii="Times New Roman" w:eastAsia="Times New Roman" w:hAnsi="Times New Roman"/>
          <w:sz w:val="23"/>
          <w:szCs w:val="23"/>
        </w:rPr>
        <w:t>3-zasuvkovy kontajner s rozmermi š44/h60/v60</w:t>
      </w:r>
    </w:p>
    <w:p w14:paraId="4DC1F034" w14:textId="505EC4F4" w:rsidR="00BE5119" w:rsidRPr="00BE5119" w:rsidRDefault="00BE5119" w:rsidP="00BE5119">
      <w:pPr>
        <w:pStyle w:val="Odsekzoznamu"/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E5119">
        <w:rPr>
          <w:rFonts w:ascii="Times New Roman" w:eastAsia="Times New Roman" w:hAnsi="Times New Roman"/>
          <w:sz w:val="23"/>
          <w:szCs w:val="23"/>
        </w:rPr>
        <w:t>•         Otvorená regálová skrinka s</w:t>
      </w:r>
      <w:r w:rsidR="00B21E11">
        <w:rPr>
          <w:rFonts w:ascii="Times New Roman" w:eastAsia="Times New Roman" w:hAnsi="Times New Roman"/>
          <w:sz w:val="23"/>
          <w:szCs w:val="23"/>
        </w:rPr>
        <w:t xml:space="preserve"> min. </w:t>
      </w:r>
      <w:r w:rsidRPr="00BE5119">
        <w:rPr>
          <w:rFonts w:ascii="Times New Roman" w:eastAsia="Times New Roman" w:hAnsi="Times New Roman"/>
          <w:sz w:val="23"/>
          <w:szCs w:val="23"/>
        </w:rPr>
        <w:t xml:space="preserve">rozmermi </w:t>
      </w:r>
      <w:r w:rsidR="00B21E11">
        <w:rPr>
          <w:rFonts w:ascii="Times New Roman" w:eastAsia="Times New Roman" w:hAnsi="Times New Roman"/>
          <w:sz w:val="23"/>
          <w:szCs w:val="23"/>
        </w:rPr>
        <w:t>š</w:t>
      </w:r>
      <w:r w:rsidRPr="00BE5119">
        <w:rPr>
          <w:rFonts w:ascii="Times New Roman" w:eastAsia="Times New Roman" w:hAnsi="Times New Roman"/>
          <w:sz w:val="23"/>
          <w:szCs w:val="23"/>
        </w:rPr>
        <w:t>800/</w:t>
      </w:r>
      <w:r w:rsidR="00B21E11">
        <w:rPr>
          <w:rFonts w:ascii="Times New Roman" w:eastAsia="Times New Roman" w:hAnsi="Times New Roman"/>
          <w:sz w:val="23"/>
          <w:szCs w:val="23"/>
        </w:rPr>
        <w:t>h</w:t>
      </w:r>
      <w:r w:rsidRPr="00BE5119">
        <w:rPr>
          <w:rFonts w:ascii="Times New Roman" w:eastAsia="Times New Roman" w:hAnsi="Times New Roman"/>
          <w:sz w:val="23"/>
          <w:szCs w:val="23"/>
        </w:rPr>
        <w:t>450/</w:t>
      </w:r>
      <w:r w:rsidR="00B21E11">
        <w:rPr>
          <w:rFonts w:ascii="Times New Roman" w:eastAsia="Times New Roman" w:hAnsi="Times New Roman"/>
          <w:sz w:val="23"/>
          <w:szCs w:val="23"/>
        </w:rPr>
        <w:t>v</w:t>
      </w:r>
      <w:r w:rsidRPr="00BE5119">
        <w:rPr>
          <w:rFonts w:ascii="Times New Roman" w:eastAsia="Times New Roman" w:hAnsi="Times New Roman"/>
          <w:sz w:val="23"/>
          <w:szCs w:val="23"/>
        </w:rPr>
        <w:t>1500</w:t>
      </w:r>
    </w:p>
    <w:p w14:paraId="2428EBE2" w14:textId="3AA27A9E" w:rsidR="00BE5119" w:rsidRPr="00BE5119" w:rsidRDefault="00BE5119" w:rsidP="00BE5119">
      <w:pPr>
        <w:pStyle w:val="Odsekzoznamu"/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E5119">
        <w:rPr>
          <w:rFonts w:ascii="Times New Roman" w:eastAsia="Times New Roman" w:hAnsi="Times New Roman"/>
          <w:sz w:val="23"/>
          <w:szCs w:val="23"/>
        </w:rPr>
        <w:t>•         Vešiak s odkladacím priestorom</w:t>
      </w:r>
    </w:p>
    <w:p w14:paraId="5DC66E3E" w14:textId="2D810FA8" w:rsidR="00B33E39" w:rsidRPr="000C7308" w:rsidRDefault="00BE5119" w:rsidP="00E27568">
      <w:pPr>
        <w:pStyle w:val="Odsekzoznamu"/>
        <w:widowControl w:val="0"/>
        <w:spacing w:after="0" w:line="240" w:lineRule="auto"/>
        <w:ind w:left="360" w:right="-20"/>
        <w:jc w:val="both"/>
        <w:rPr>
          <w:rFonts w:ascii="Times New Roman" w:eastAsia="Times New Roman" w:hAnsi="Times New Roman"/>
          <w:sz w:val="23"/>
          <w:szCs w:val="23"/>
        </w:rPr>
      </w:pPr>
      <w:r w:rsidRPr="00BE5119">
        <w:rPr>
          <w:rFonts w:ascii="Times New Roman" w:eastAsia="Times New Roman" w:hAnsi="Times New Roman"/>
          <w:sz w:val="23"/>
          <w:szCs w:val="23"/>
        </w:rPr>
        <w:t xml:space="preserve">•         Odpadkový </w:t>
      </w:r>
      <w:r>
        <w:rPr>
          <w:rFonts w:ascii="Times New Roman" w:eastAsia="Times New Roman" w:hAnsi="Times New Roman"/>
          <w:sz w:val="23"/>
          <w:szCs w:val="23"/>
        </w:rPr>
        <w:t>kôš</w:t>
      </w:r>
      <w:r w:rsidRPr="00BE5119">
        <w:rPr>
          <w:rFonts w:ascii="Times New Roman" w:eastAsia="Times New Roman" w:hAnsi="Times New Roman"/>
          <w:sz w:val="23"/>
          <w:szCs w:val="23"/>
        </w:rPr>
        <w:t xml:space="preserve"> pod kancelársky stôl</w:t>
      </w:r>
    </w:p>
    <w:p w14:paraId="1E7ABBD9" w14:textId="4EBD8388" w:rsidR="001F62A6" w:rsidRDefault="001F62A6" w:rsidP="00B33E39">
      <w:pPr>
        <w:pStyle w:val="Odsekzoznamu"/>
        <w:widowControl w:val="0"/>
        <w:numPr>
          <w:ilvl w:val="0"/>
          <w:numId w:val="12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káblové rozvody dát v</w:t>
      </w:r>
      <w:r w:rsidR="00F02628">
        <w:rPr>
          <w:rFonts w:ascii="Times New Roman" w:eastAsia="Times New Roman" w:hAnsi="Times New Roman"/>
          <w:sz w:val="23"/>
          <w:szCs w:val="23"/>
        </w:rPr>
        <w:t> </w:t>
      </w:r>
      <w:r w:rsidRPr="00B33E39">
        <w:rPr>
          <w:rFonts w:ascii="Times New Roman" w:eastAsia="Times New Roman" w:hAnsi="Times New Roman"/>
          <w:sz w:val="23"/>
          <w:szCs w:val="23"/>
        </w:rPr>
        <w:t>miestnostiach</w:t>
      </w:r>
      <w:r w:rsidR="00F02628">
        <w:rPr>
          <w:rFonts w:ascii="Times New Roman" w:eastAsia="Times New Roman" w:hAnsi="Times New Roman"/>
          <w:sz w:val="23"/>
          <w:szCs w:val="23"/>
        </w:rPr>
        <w:t>, ktoré</w:t>
      </w:r>
      <w:r w:rsidRPr="00B33E39">
        <w:rPr>
          <w:rFonts w:ascii="Times New Roman" w:eastAsia="Times New Roman" w:hAnsi="Times New Roman"/>
          <w:sz w:val="23"/>
          <w:szCs w:val="23"/>
        </w:rPr>
        <w:t xml:space="preserve"> musia byť zabezpečené formou štruktúrovanej kabeláže štandard minimálne cat. </w:t>
      </w:r>
      <w:r w:rsidR="00B671DD">
        <w:rPr>
          <w:rFonts w:ascii="Times New Roman" w:eastAsia="Times New Roman" w:hAnsi="Times New Roman"/>
          <w:sz w:val="23"/>
          <w:szCs w:val="23"/>
        </w:rPr>
        <w:t>5</w:t>
      </w:r>
      <w:r w:rsidRPr="00B33E39">
        <w:rPr>
          <w:rFonts w:ascii="Times New Roman" w:eastAsia="Times New Roman" w:hAnsi="Times New Roman"/>
          <w:sz w:val="23"/>
          <w:szCs w:val="23"/>
        </w:rPr>
        <w:t xml:space="preserve"> vedenej v zdvojenej podlahe alebo v zníženom podhľade</w:t>
      </w:r>
    </w:p>
    <w:p w14:paraId="311939C0" w14:textId="0C738FFA" w:rsidR="00E10C41" w:rsidRDefault="007A1A8E" w:rsidP="00B33E39">
      <w:pPr>
        <w:pStyle w:val="Odsekzoznamu"/>
        <w:widowControl w:val="0"/>
        <w:numPr>
          <w:ilvl w:val="0"/>
          <w:numId w:val="12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 xml:space="preserve">sústreďovací bod štruktúrovanej  kabeláže musí byť v miestnosti serverovne s chladením určenej výlučne pre </w:t>
      </w:r>
      <w:r w:rsidR="001F62A6" w:rsidRPr="00B33E39">
        <w:rPr>
          <w:rFonts w:ascii="Times New Roman" w:eastAsia="Times New Roman" w:hAnsi="Times New Roman"/>
          <w:sz w:val="23"/>
          <w:szCs w:val="23"/>
        </w:rPr>
        <w:t>nájomcu</w:t>
      </w:r>
    </w:p>
    <w:p w14:paraId="34F03466" w14:textId="3635CA65" w:rsidR="001F62A6" w:rsidRDefault="001F62A6" w:rsidP="00B33E39">
      <w:pPr>
        <w:pStyle w:val="Odsekzoznamu"/>
        <w:widowControl w:val="0"/>
        <w:numPr>
          <w:ilvl w:val="0"/>
          <w:numId w:val="12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>v serverovni musí byť kabeláž ukončená v hlavnom dátovom rozvádzači na patch paneloch (s minimálnym počtom 150 portov)</w:t>
      </w:r>
    </w:p>
    <w:p w14:paraId="48A2444E" w14:textId="576BCB0D" w:rsidR="001F62A6" w:rsidRDefault="001F62A6" w:rsidP="00B33E39">
      <w:pPr>
        <w:pStyle w:val="Odsekzoznamu"/>
        <w:widowControl w:val="0"/>
        <w:numPr>
          <w:ilvl w:val="0"/>
          <w:numId w:val="12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 w:rsidRPr="00B33E39">
        <w:rPr>
          <w:rFonts w:ascii="Times New Roman" w:eastAsia="Times New Roman" w:hAnsi="Times New Roman"/>
          <w:sz w:val="23"/>
          <w:szCs w:val="23"/>
        </w:rPr>
        <w:t xml:space="preserve">rozvody </w:t>
      </w:r>
      <w:r w:rsidR="00B671DD">
        <w:rPr>
          <w:rFonts w:ascii="Times New Roman" w:eastAsia="Times New Roman" w:hAnsi="Times New Roman"/>
          <w:sz w:val="23"/>
          <w:szCs w:val="23"/>
        </w:rPr>
        <w:t xml:space="preserve">telekomunikačných zariadení  </w:t>
      </w:r>
      <w:r w:rsidRPr="00B33E39">
        <w:rPr>
          <w:rFonts w:ascii="Times New Roman" w:eastAsia="Times New Roman" w:hAnsi="Times New Roman"/>
          <w:sz w:val="23"/>
          <w:szCs w:val="23"/>
        </w:rPr>
        <w:t>musia byť vedené do všetkých kancelárskych priestorov</w:t>
      </w:r>
    </w:p>
    <w:p w14:paraId="4952BFAE" w14:textId="4A673265" w:rsidR="00213FC4" w:rsidRPr="00B33E39" w:rsidRDefault="00213FC4" w:rsidP="00B33E39">
      <w:pPr>
        <w:pStyle w:val="Odsekzoznamu"/>
        <w:widowControl w:val="0"/>
        <w:numPr>
          <w:ilvl w:val="0"/>
          <w:numId w:val="12"/>
        </w:numPr>
        <w:spacing w:after="0" w:line="240" w:lineRule="auto"/>
        <w:ind w:right="-2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ďalšie požiadavky </w:t>
      </w:r>
      <w:r w:rsidR="00A05234">
        <w:rPr>
          <w:rFonts w:ascii="Times New Roman" w:eastAsia="Times New Roman" w:hAnsi="Times New Roman"/>
          <w:sz w:val="23"/>
          <w:szCs w:val="23"/>
        </w:rPr>
        <w:t xml:space="preserve">verejného obstarávateľa </w:t>
      </w:r>
      <w:r>
        <w:rPr>
          <w:rFonts w:ascii="Times New Roman" w:eastAsia="Times New Roman" w:hAnsi="Times New Roman"/>
          <w:sz w:val="23"/>
          <w:szCs w:val="23"/>
        </w:rPr>
        <w:t>sú uvedené v Prílohe č. 2 a Prílohe č. 3 tejto výzvy</w:t>
      </w:r>
      <w:r w:rsidR="00A05234">
        <w:rPr>
          <w:rFonts w:ascii="Times New Roman" w:eastAsia="Times New Roman" w:hAnsi="Times New Roman"/>
          <w:sz w:val="23"/>
          <w:szCs w:val="23"/>
        </w:rPr>
        <w:t xml:space="preserve"> a uchádzač postupuje pri príprave ponuky v súlade s týmito požiadavkami;</w:t>
      </w:r>
    </w:p>
    <w:p w14:paraId="0A4E57B7" w14:textId="77777777" w:rsidR="001F62A6" w:rsidRPr="00BB6B29" w:rsidRDefault="001F62A6" w:rsidP="001F62A6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eastAsiaTheme="minorHAnsi" w:hAnsi="Times New Roman" w:cs="Arial"/>
          <w:sz w:val="24"/>
          <w:szCs w:val="24"/>
          <w:lang w:eastAsia="sk-SK"/>
        </w:rPr>
      </w:pPr>
    </w:p>
    <w:p w14:paraId="43EE1CBF" w14:textId="5EB6A48C" w:rsidR="001F62A6" w:rsidRDefault="001F62A6" w:rsidP="001F62A6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</w:pPr>
      <w:r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>Nájomca požaduje</w:t>
      </w:r>
      <w:r w:rsidR="00874C10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>, aby</w:t>
      </w:r>
      <w:r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 priestory </w:t>
      </w:r>
      <w:r w:rsidR="00874C10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boli </w:t>
      </w:r>
      <w:r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k dispozícii v priebehu mesiaca </w:t>
      </w:r>
      <w:r w:rsidR="00B21E11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>máj</w:t>
      </w:r>
      <w:r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 2018.</w:t>
      </w:r>
    </w:p>
    <w:p w14:paraId="5C8FCCCD" w14:textId="77777777" w:rsidR="00213FC4" w:rsidRDefault="00213FC4" w:rsidP="001F62A6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</w:pPr>
    </w:p>
    <w:p w14:paraId="52F412CA" w14:textId="77777777" w:rsidR="001F62A6" w:rsidRPr="001F62A6" w:rsidRDefault="001F62A6" w:rsidP="001F62A6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</w:pPr>
    </w:p>
    <w:p w14:paraId="4B4A3ED6" w14:textId="62978F2A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5139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8. Spoločný slovník obstarávania:</w:t>
      </w:r>
    </w:p>
    <w:p w14:paraId="52FD0318" w14:textId="122CCBD9" w:rsidR="00722CEC" w:rsidRPr="00BA630F" w:rsidRDefault="00BA630F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A630F">
        <w:rPr>
          <w:rFonts w:ascii="Times New Roman" w:eastAsiaTheme="minorHAnsi" w:hAnsi="Times New Roman"/>
          <w:sz w:val="24"/>
          <w:szCs w:val="24"/>
        </w:rPr>
        <w:t>70310000-7 Prenájom alebo predaj budov</w:t>
      </w:r>
    </w:p>
    <w:p w14:paraId="5B94F7D5" w14:textId="77777777" w:rsidR="00BA630F" w:rsidRPr="00751395" w:rsidRDefault="00BA630F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14E861F7" w14:textId="6F2413B3" w:rsidR="00722CEC" w:rsidRPr="00751395" w:rsidRDefault="003E3528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9</w:t>
      </w:r>
      <w:r w:rsidR="00722CEC" w:rsidRPr="0075139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Celkový rozsah predmetu zákazky: </w:t>
      </w:r>
    </w:p>
    <w:p w14:paraId="6402F54F" w14:textId="034691B8" w:rsidR="00376716" w:rsidRDefault="004D33AB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Požadovaná</w:t>
      </w:r>
      <w:r w:rsidR="00D12F85">
        <w:rPr>
          <w:rFonts w:ascii="Times New Roman" w:eastAsiaTheme="minorHAnsi" w:hAnsi="Times New Roman"/>
          <w:sz w:val="24"/>
          <w:szCs w:val="24"/>
        </w:rPr>
        <w:t xml:space="preserve"> dĺžka poskytovania služby je</w:t>
      </w:r>
      <w:r w:rsidR="00D74DD1">
        <w:rPr>
          <w:rFonts w:ascii="Times New Roman" w:eastAsiaTheme="minorHAnsi" w:hAnsi="Times New Roman"/>
          <w:sz w:val="24"/>
          <w:szCs w:val="24"/>
        </w:rPr>
        <w:t xml:space="preserve"> </w:t>
      </w:r>
      <w:r w:rsidR="00BA630F">
        <w:rPr>
          <w:rFonts w:ascii="Times New Roman" w:eastAsiaTheme="minorHAnsi" w:hAnsi="Times New Roman"/>
          <w:sz w:val="24"/>
          <w:szCs w:val="24"/>
        </w:rPr>
        <w:t>60</w:t>
      </w:r>
      <w:r w:rsidR="0017434E">
        <w:rPr>
          <w:rFonts w:ascii="Times New Roman" w:eastAsiaTheme="minorHAnsi" w:hAnsi="Times New Roman"/>
          <w:sz w:val="24"/>
          <w:szCs w:val="24"/>
        </w:rPr>
        <w:t xml:space="preserve"> mesiacov</w:t>
      </w:r>
      <w:r w:rsidR="00BA630F">
        <w:rPr>
          <w:rFonts w:ascii="Times New Roman" w:eastAsiaTheme="minorHAnsi" w:hAnsi="Times New Roman"/>
          <w:sz w:val="24"/>
          <w:szCs w:val="24"/>
        </w:rPr>
        <w:t xml:space="preserve"> od účinnosti zmluvy</w:t>
      </w:r>
    </w:p>
    <w:p w14:paraId="0E858B05" w14:textId="77777777" w:rsidR="00E717B4" w:rsidRDefault="00E717B4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F395E46" w14:textId="2D4623CA" w:rsidR="00722CEC" w:rsidRDefault="003E3528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10</w:t>
      </w:r>
      <w:r w:rsidR="00722CEC" w:rsidRPr="00751395">
        <w:rPr>
          <w:rFonts w:ascii="Times New Roman" w:eastAsiaTheme="minorHAnsi" w:hAnsi="Times New Roman"/>
          <w:b/>
          <w:bCs/>
          <w:sz w:val="24"/>
          <w:szCs w:val="24"/>
        </w:rPr>
        <w:t xml:space="preserve">. Hlavné podmienky financovania a platobné dojednania: </w:t>
      </w:r>
    </w:p>
    <w:p w14:paraId="5F8ADE19" w14:textId="77777777" w:rsidR="00376716" w:rsidRPr="00751395" w:rsidRDefault="00376716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3E21750" w14:textId="7EB050A9" w:rsidR="00144D75" w:rsidRPr="00751395" w:rsidRDefault="006603E6" w:rsidP="00722CEC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Mesačné platby nájomného a mesačné paušálne platby za služby spojené s užívaním predmetu nájmu budú fakturované a uhrádzané vždy po uplynutí príslušného kalendárneho mesiaca. Lehota splatnosti faktúry je do 30 dní odo dňa doručenia nájomcovi.</w:t>
      </w:r>
    </w:p>
    <w:p w14:paraId="73A54FDF" w14:textId="77777777" w:rsidR="00722CEC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38094AC" w14:textId="5D5998F9" w:rsidR="00F02628" w:rsidRDefault="0094571F" w:rsidP="00E10C41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Spôsob vyúčtovania spoločných prevádzkových nákladov, ktoré nie sú zahrnuté v cene za prenájom pries</w:t>
      </w:r>
      <w:r w:rsidR="001F62A6">
        <w:rPr>
          <w:rFonts w:ascii="Times New Roman" w:eastAsiaTheme="minorHAnsi" w:hAnsi="Times New Roman"/>
          <w:sz w:val="24"/>
          <w:szCs w:val="24"/>
        </w:rPr>
        <w:t>toru je uvedený v bode 12</w:t>
      </w:r>
      <w:r>
        <w:rPr>
          <w:rFonts w:ascii="Times New Roman" w:eastAsiaTheme="minorHAnsi" w:hAnsi="Times New Roman"/>
          <w:sz w:val="24"/>
          <w:szCs w:val="24"/>
        </w:rPr>
        <w:t xml:space="preserve"> výzvy.</w:t>
      </w:r>
    </w:p>
    <w:p w14:paraId="7172DD91" w14:textId="77777777" w:rsidR="00BB6B29" w:rsidRPr="00751395" w:rsidRDefault="00BB6B29" w:rsidP="00E10C41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7F608DC" w14:textId="3F75A653" w:rsidR="00722CEC" w:rsidRDefault="003E3528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11</w:t>
      </w:r>
      <w:r w:rsidR="00722CEC" w:rsidRPr="00751395">
        <w:rPr>
          <w:rFonts w:ascii="Times New Roman" w:eastAsiaTheme="minorHAnsi" w:hAnsi="Times New Roman"/>
          <w:b/>
          <w:bCs/>
          <w:sz w:val="24"/>
          <w:szCs w:val="24"/>
        </w:rPr>
        <w:t>. Podmienky účasti:</w:t>
      </w:r>
    </w:p>
    <w:p w14:paraId="2A558540" w14:textId="77777777" w:rsidR="00376716" w:rsidRDefault="00376716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40BBDF6" w14:textId="1D322BC7" w:rsidR="0048448E" w:rsidRDefault="00996DD2" w:rsidP="00737694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526E">
        <w:rPr>
          <w:rFonts w:ascii="Times New Roman" w:eastAsiaTheme="minorHAnsi" w:hAnsi="Times New Roman"/>
          <w:sz w:val="24"/>
          <w:szCs w:val="24"/>
        </w:rPr>
        <w:t xml:space="preserve">Dodávateľ služby musí predložiť </w:t>
      </w:r>
      <w:r>
        <w:rPr>
          <w:rFonts w:ascii="Times New Roman" w:eastAsiaTheme="minorHAnsi" w:hAnsi="Times New Roman"/>
          <w:sz w:val="24"/>
          <w:szCs w:val="24"/>
        </w:rPr>
        <w:t>doklad o oprávnení poskytovať službu, ktorá zodpovedá predmetu zákazky (výpis z obchodného registra. resp. živnostenský list</w:t>
      </w:r>
      <w:r w:rsidRPr="001B526E">
        <w:rPr>
          <w:rFonts w:ascii="Times New Roman" w:eastAsiaTheme="minorHAnsi" w:hAnsi="Times New Roman"/>
          <w:sz w:val="24"/>
          <w:szCs w:val="24"/>
        </w:rPr>
        <w:t>, na základe ktorého preukáže, že je oprávnený poskytovať službu, ktorá je predmetom zákazky</w:t>
      </w:r>
      <w:r>
        <w:rPr>
          <w:rFonts w:ascii="Times New Roman" w:eastAsiaTheme="minorHAnsi" w:hAnsi="Times New Roman"/>
          <w:sz w:val="24"/>
          <w:szCs w:val="24"/>
        </w:rPr>
        <w:t>)</w:t>
      </w:r>
      <w:r w:rsidRPr="001B526E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E318454" w14:textId="4D137175" w:rsidR="00722CEC" w:rsidRPr="00751395" w:rsidRDefault="00722CEC" w:rsidP="00737694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CAE457D" w14:textId="6C03A7B4" w:rsidR="00722CEC" w:rsidRPr="00751395" w:rsidRDefault="00996DD2" w:rsidP="00722CEC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Uchádzač predloží doklad</w:t>
      </w:r>
      <w:r w:rsidR="00722CEC" w:rsidRPr="00751395">
        <w:rPr>
          <w:rFonts w:ascii="Times New Roman" w:eastAsiaTheme="minorHAnsi" w:hAnsi="Times New Roman"/>
          <w:bCs/>
          <w:sz w:val="24"/>
          <w:szCs w:val="24"/>
        </w:rPr>
        <w:t xml:space="preserve"> podľa tohto bodu výzvy. Ak uchádzač nesplní požiadavku podľa tohto bodu výzvy na predkladanie ponúk, ani po výzve na vysvetl</w:t>
      </w:r>
      <w:r>
        <w:rPr>
          <w:rFonts w:ascii="Times New Roman" w:eastAsiaTheme="minorHAnsi" w:hAnsi="Times New Roman"/>
          <w:bCs/>
          <w:sz w:val="24"/>
          <w:szCs w:val="24"/>
        </w:rPr>
        <w:t>enie alebo doplnenie chýbajúceho dokladu</w:t>
      </w:r>
      <w:r w:rsidR="00722CEC" w:rsidRPr="00751395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737694">
        <w:rPr>
          <w:rFonts w:ascii="Times New Roman" w:eastAsiaTheme="minorHAnsi" w:hAnsi="Times New Roman"/>
          <w:bCs/>
          <w:sz w:val="24"/>
          <w:szCs w:val="24"/>
        </w:rPr>
        <w:t>ne</w:t>
      </w:r>
      <w:r w:rsidR="00722CEC" w:rsidRPr="00751395">
        <w:rPr>
          <w:rFonts w:ascii="Times New Roman" w:eastAsiaTheme="minorHAnsi" w:hAnsi="Times New Roman"/>
          <w:bCs/>
          <w:sz w:val="24"/>
          <w:szCs w:val="24"/>
        </w:rPr>
        <w:t xml:space="preserve">bude </w:t>
      </w:r>
      <w:r w:rsidR="00737694">
        <w:rPr>
          <w:rFonts w:ascii="Times New Roman" w:eastAsiaTheme="minorHAnsi" w:hAnsi="Times New Roman"/>
          <w:bCs/>
          <w:sz w:val="24"/>
          <w:szCs w:val="24"/>
        </w:rPr>
        <w:t>jeho ponuka hodnotená</w:t>
      </w:r>
      <w:r w:rsidR="00722CEC" w:rsidRPr="00751395">
        <w:rPr>
          <w:rFonts w:ascii="Times New Roman" w:eastAsiaTheme="minorHAnsi" w:hAnsi="Times New Roman"/>
          <w:bCs/>
          <w:sz w:val="24"/>
          <w:szCs w:val="24"/>
        </w:rPr>
        <w:t xml:space="preserve">. </w:t>
      </w:r>
    </w:p>
    <w:p w14:paraId="64AC7E03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86B1C5F" w14:textId="070A73BC" w:rsidR="00722CEC" w:rsidRDefault="003E3528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12</w:t>
      </w:r>
      <w:r w:rsidR="00722CEC" w:rsidRPr="00751395">
        <w:rPr>
          <w:rFonts w:ascii="Times New Roman" w:eastAsiaTheme="minorHAnsi" w:hAnsi="Times New Roman"/>
          <w:b/>
          <w:bCs/>
          <w:sz w:val="24"/>
          <w:szCs w:val="24"/>
        </w:rPr>
        <w:t xml:space="preserve">. Kritérium na vyhodnotenie ponúk: </w:t>
      </w:r>
    </w:p>
    <w:p w14:paraId="6CCE877D" w14:textId="77777777" w:rsidR="008A201B" w:rsidRDefault="008A201B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605E9D1" w14:textId="241306E2" w:rsidR="00996DD2" w:rsidRPr="00996DD2" w:rsidRDefault="00E717B4" w:rsidP="00396099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996DD2">
        <w:rPr>
          <w:rFonts w:ascii="Times New Roman" w:eastAsiaTheme="minorHAnsi" w:hAnsi="Times New Roman"/>
          <w:sz w:val="24"/>
          <w:szCs w:val="24"/>
          <w:u w:val="single"/>
        </w:rPr>
        <w:t>Najnižšia</w:t>
      </w:r>
      <w:r w:rsidR="007B24FF" w:rsidRPr="00996DD2">
        <w:rPr>
          <w:rFonts w:ascii="Times New Roman" w:eastAsiaTheme="minorHAnsi" w:hAnsi="Times New Roman"/>
          <w:sz w:val="24"/>
          <w:szCs w:val="24"/>
          <w:u w:val="single"/>
        </w:rPr>
        <w:t xml:space="preserve"> celková</w:t>
      </w:r>
      <w:r w:rsidRPr="00996DD2">
        <w:rPr>
          <w:rFonts w:ascii="Times New Roman" w:eastAsiaTheme="minorHAnsi" w:hAnsi="Times New Roman"/>
          <w:sz w:val="24"/>
          <w:szCs w:val="24"/>
          <w:u w:val="single"/>
        </w:rPr>
        <w:t xml:space="preserve"> cena </w:t>
      </w:r>
      <w:r w:rsidR="00396099" w:rsidRPr="00996DD2">
        <w:rPr>
          <w:rFonts w:ascii="Times New Roman" w:eastAsiaTheme="minorHAnsi" w:hAnsi="Times New Roman"/>
          <w:sz w:val="24"/>
          <w:szCs w:val="24"/>
          <w:u w:val="single"/>
        </w:rPr>
        <w:t xml:space="preserve">v EUR s DPH </w:t>
      </w:r>
      <w:r w:rsidRPr="00996DD2">
        <w:rPr>
          <w:rFonts w:ascii="Times New Roman" w:eastAsiaTheme="minorHAnsi" w:hAnsi="Times New Roman"/>
          <w:sz w:val="24"/>
          <w:szCs w:val="24"/>
          <w:u w:val="single"/>
        </w:rPr>
        <w:t>za poskytnuté plnenie</w:t>
      </w:r>
      <w:r w:rsidR="0094571F">
        <w:rPr>
          <w:rFonts w:ascii="Times New Roman" w:eastAsiaTheme="minorHAnsi" w:hAnsi="Times New Roman"/>
          <w:sz w:val="24"/>
          <w:szCs w:val="24"/>
          <w:u w:val="single"/>
        </w:rPr>
        <w:t>, ktorá bude obsahovať celkové náklady</w:t>
      </w:r>
      <w:r w:rsidR="0031266E">
        <w:rPr>
          <w:rFonts w:ascii="Times New Roman" w:eastAsiaTheme="minorHAnsi" w:hAnsi="Times New Roman"/>
          <w:sz w:val="24"/>
          <w:szCs w:val="24"/>
          <w:u w:val="single"/>
        </w:rPr>
        <w:t xml:space="preserve"> na prenájom priestorov</w:t>
      </w:r>
      <w:r w:rsidR="001F62A6">
        <w:rPr>
          <w:rFonts w:ascii="Times New Roman" w:eastAsiaTheme="minorHAnsi" w:hAnsi="Times New Roman"/>
          <w:sz w:val="24"/>
          <w:szCs w:val="24"/>
          <w:u w:val="single"/>
        </w:rPr>
        <w:t>.</w:t>
      </w:r>
      <w:r w:rsidR="00396099" w:rsidRPr="00996DD2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14:paraId="36EA84C1" w14:textId="77777777" w:rsidR="00996DD2" w:rsidRDefault="00996DD2" w:rsidP="00396099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235EB39" w14:textId="5DF3C20B" w:rsidR="00396099" w:rsidRPr="0035356B" w:rsidRDefault="00396099" w:rsidP="00396099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 prípade, že uchádzač nie je platcom DPH, uvedie túto skutočnosť.</w:t>
      </w:r>
    </w:p>
    <w:p w14:paraId="439B66EB" w14:textId="02BB5D1C" w:rsidR="00E717B4" w:rsidRPr="00751395" w:rsidRDefault="00E717B4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46462A8" w14:textId="5EE4938A" w:rsidR="00E717B4" w:rsidRDefault="00996DD2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Súčasťou cenovej ponuky musia byť nasledovné údaje:</w:t>
      </w:r>
    </w:p>
    <w:p w14:paraId="5AFA947F" w14:textId="77777777" w:rsidR="00996DD2" w:rsidRPr="00996DD2" w:rsidRDefault="00996DD2" w:rsidP="00996DD2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96DD2">
        <w:rPr>
          <w:rFonts w:ascii="Times New Roman" w:eastAsiaTheme="minorHAnsi" w:hAnsi="Times New Roman"/>
          <w:sz w:val="24"/>
          <w:szCs w:val="24"/>
        </w:rPr>
        <w:t>celková prenajímateľná plocha</w:t>
      </w:r>
    </w:p>
    <w:p w14:paraId="5A1FB8EE" w14:textId="514E6DD6" w:rsidR="00996DD2" w:rsidRPr="00996DD2" w:rsidRDefault="00996DD2" w:rsidP="00996DD2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96DD2">
        <w:rPr>
          <w:rFonts w:ascii="Times New Roman" w:eastAsiaTheme="minorHAnsi" w:hAnsi="Times New Roman"/>
          <w:sz w:val="24"/>
          <w:szCs w:val="24"/>
        </w:rPr>
        <w:t>cena za prenájom priestoru</w:t>
      </w:r>
      <w:r w:rsidR="00874C10">
        <w:rPr>
          <w:rFonts w:ascii="Times New Roman" w:eastAsiaTheme="minorHAnsi" w:hAnsi="Times New Roman"/>
          <w:sz w:val="24"/>
          <w:szCs w:val="24"/>
        </w:rPr>
        <w:t>, ktorého podrobný opis je v bode 7 výzvy</w:t>
      </w:r>
      <w:r w:rsidR="008778DE">
        <w:rPr>
          <w:rFonts w:ascii="Times New Roman" w:eastAsiaTheme="minorHAnsi" w:hAnsi="Times New Roman"/>
          <w:sz w:val="24"/>
          <w:szCs w:val="24"/>
        </w:rPr>
        <w:t xml:space="preserve">, v prílohe č. </w:t>
      </w:r>
      <w:r w:rsidR="007B0DE0">
        <w:rPr>
          <w:rFonts w:ascii="Times New Roman" w:eastAsiaTheme="minorHAnsi" w:hAnsi="Times New Roman"/>
          <w:sz w:val="24"/>
          <w:szCs w:val="24"/>
        </w:rPr>
        <w:t>3</w:t>
      </w:r>
      <w:r w:rsidR="008778DE">
        <w:rPr>
          <w:rFonts w:ascii="Times New Roman" w:eastAsiaTheme="minorHAnsi" w:hAnsi="Times New Roman"/>
          <w:sz w:val="24"/>
          <w:szCs w:val="24"/>
        </w:rPr>
        <w:t xml:space="preserve"> „štandard vyhotovenia“ a prílohe č. 2 „technická časť“</w:t>
      </w:r>
      <w:r w:rsidR="00874C10">
        <w:rPr>
          <w:rFonts w:ascii="Times New Roman" w:eastAsiaTheme="minorHAnsi" w:hAnsi="Times New Roman"/>
          <w:sz w:val="24"/>
          <w:szCs w:val="24"/>
        </w:rPr>
        <w:t>,</w:t>
      </w:r>
      <w:r w:rsidRPr="00996DD2">
        <w:rPr>
          <w:rFonts w:ascii="Times New Roman" w:eastAsiaTheme="minorHAnsi" w:hAnsi="Times New Roman"/>
          <w:sz w:val="24"/>
          <w:szCs w:val="24"/>
        </w:rPr>
        <w:t xml:space="preserve"> vyjadrená v EUR za 1 m</w:t>
      </w:r>
      <w:r w:rsidRPr="00996DD2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996DD2">
        <w:rPr>
          <w:rFonts w:ascii="Times New Roman" w:eastAsiaTheme="minorHAnsi" w:hAnsi="Times New Roman"/>
          <w:sz w:val="24"/>
          <w:szCs w:val="24"/>
        </w:rPr>
        <w:t xml:space="preserve"> za 1 mesiac bez DPH </w:t>
      </w:r>
      <w:r>
        <w:rPr>
          <w:rFonts w:ascii="Times New Roman" w:eastAsiaTheme="minorHAnsi" w:hAnsi="Times New Roman"/>
          <w:sz w:val="24"/>
          <w:szCs w:val="24"/>
        </w:rPr>
        <w:t>a s DPH</w:t>
      </w:r>
    </w:p>
    <w:p w14:paraId="0E0678C7" w14:textId="77777777" w:rsidR="00996DD2" w:rsidRPr="00996DD2" w:rsidRDefault="00996DD2" w:rsidP="00996DD2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96DD2">
        <w:rPr>
          <w:rFonts w:ascii="Times New Roman" w:eastAsiaTheme="minorHAnsi" w:hAnsi="Times New Roman"/>
          <w:sz w:val="24"/>
          <w:szCs w:val="24"/>
        </w:rPr>
        <w:t>prevádzkové náklady:</w:t>
      </w:r>
    </w:p>
    <w:p w14:paraId="29541681" w14:textId="77777777" w:rsidR="00996DD2" w:rsidRPr="00996DD2" w:rsidRDefault="00996DD2" w:rsidP="00996DD2">
      <w:pPr>
        <w:numPr>
          <w:ilvl w:val="1"/>
          <w:numId w:val="8"/>
        </w:num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96DD2">
        <w:rPr>
          <w:rFonts w:ascii="Times New Roman" w:eastAsiaTheme="minorHAnsi" w:hAnsi="Times New Roman"/>
          <w:sz w:val="24"/>
          <w:szCs w:val="24"/>
        </w:rPr>
        <w:t> </w:t>
      </w:r>
      <w:r w:rsidRPr="001F62A6">
        <w:rPr>
          <w:rFonts w:ascii="Times New Roman" w:eastAsiaTheme="minorHAnsi" w:hAnsi="Times New Roman"/>
          <w:sz w:val="24"/>
          <w:szCs w:val="24"/>
          <w:u w:val="single"/>
        </w:rPr>
        <w:t>spoločné prevádzkové náklady</w:t>
      </w:r>
      <w:r w:rsidRPr="00996DD2">
        <w:rPr>
          <w:rFonts w:ascii="Times New Roman" w:eastAsiaTheme="minorHAnsi" w:hAnsi="Times New Roman"/>
          <w:sz w:val="24"/>
          <w:szCs w:val="24"/>
        </w:rPr>
        <w:t xml:space="preserve"> nezahrnuté v cene za prenájom priestoru vyjadrené v EUR za 1m</w:t>
      </w:r>
      <w:r w:rsidRPr="00996DD2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996DD2">
        <w:rPr>
          <w:rFonts w:ascii="Times New Roman" w:eastAsiaTheme="minorHAnsi" w:hAnsi="Times New Roman"/>
          <w:sz w:val="24"/>
          <w:szCs w:val="24"/>
        </w:rPr>
        <w:t xml:space="preserve"> za 1 mesiac a účtované ako mesačná zálohová platba, ktorá je vyúčtovaná vyúčtovacou faktúrou podľa skutočných nákladov minimálne 1 x ročne, pričom budú pokrývať nasledovné služby:</w:t>
      </w:r>
    </w:p>
    <w:p w14:paraId="3BF5D96F" w14:textId="77777777" w:rsidR="001F62A6" w:rsidRPr="007A4A69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A69">
        <w:rPr>
          <w:rFonts w:ascii="Times New Roman" w:hAnsi="Times New Roman"/>
          <w:sz w:val="24"/>
          <w:szCs w:val="24"/>
        </w:rPr>
        <w:t>Elektrická energia - spoločné priestory, VZT, kotolňa - podľa pomeru prenajatej plochy k celkovej ploche,</w:t>
      </w:r>
    </w:p>
    <w:p w14:paraId="61A3397C" w14:textId="77777777" w:rsidR="001F62A6" w:rsidRPr="007A4A69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A69">
        <w:rPr>
          <w:rFonts w:ascii="Times New Roman" w:hAnsi="Times New Roman"/>
          <w:sz w:val="24"/>
          <w:szCs w:val="24"/>
        </w:rPr>
        <w:t>Vodné a stočné – prenajaté priestory - podľa stavu vodomera,</w:t>
      </w:r>
    </w:p>
    <w:p w14:paraId="4DE132CC" w14:textId="77777777" w:rsidR="001F62A6" w:rsidRPr="007A4A69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A69">
        <w:rPr>
          <w:rFonts w:ascii="Times New Roman" w:hAnsi="Times New Roman"/>
          <w:sz w:val="24"/>
          <w:szCs w:val="24"/>
        </w:rPr>
        <w:t>Zrážková voda - podľa pomeru prenajatej plochy k celkovej ploche</w:t>
      </w:r>
    </w:p>
    <w:p w14:paraId="53669366" w14:textId="77777777" w:rsidR="001F62A6" w:rsidRPr="007A4A69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A69">
        <w:rPr>
          <w:rFonts w:ascii="Times New Roman" w:hAnsi="Times New Roman"/>
          <w:sz w:val="24"/>
          <w:szCs w:val="24"/>
        </w:rPr>
        <w:t>Odvoz odpadu</w:t>
      </w:r>
    </w:p>
    <w:p w14:paraId="2131A159" w14:textId="77777777" w:rsidR="001F62A6" w:rsidRPr="007A4A69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A69">
        <w:rPr>
          <w:rFonts w:ascii="Times New Roman" w:hAnsi="Times New Roman"/>
          <w:sz w:val="24"/>
          <w:szCs w:val="24"/>
        </w:rPr>
        <w:t>Správa budovy - podľa pomeru prenajatej plochy k celkovej ploche</w:t>
      </w:r>
    </w:p>
    <w:p w14:paraId="08079F63" w14:textId="77777777" w:rsidR="001F62A6" w:rsidRPr="007A4A69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A69">
        <w:rPr>
          <w:rFonts w:ascii="Times New Roman" w:hAnsi="Times New Roman"/>
          <w:sz w:val="24"/>
          <w:szCs w:val="24"/>
        </w:rPr>
        <w:t>BOZP + PO - podľa pomeru prenajatej plochy k celkovej ploche</w:t>
      </w:r>
    </w:p>
    <w:p w14:paraId="277A5A74" w14:textId="77777777" w:rsidR="001F62A6" w:rsidRPr="007A4A69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A69">
        <w:rPr>
          <w:rFonts w:ascii="Times New Roman" w:hAnsi="Times New Roman"/>
          <w:sz w:val="24"/>
          <w:szCs w:val="24"/>
        </w:rPr>
        <w:t>Ostatné náklady - údržbu, opravy, úpravy a servis technologických zariadení a rozvodových systémov (mechanické, elektrické, vykurovacie, vzduchotechnické, výťahové, odpadové, sanitárne, bezpečnostné, telefónne a iné systémy) slúžiacich prenajatým priestorom (s výnimkou systémov a zariadení resp. ich častí inštalovaných alebo vnesených Úradom) - podľa pomeru prenajatej plochy k celkovej ploche</w:t>
      </w:r>
    </w:p>
    <w:p w14:paraId="1BECE48B" w14:textId="77777777" w:rsidR="001F62A6" w:rsidRPr="007A4A69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A69">
        <w:rPr>
          <w:rFonts w:ascii="Times New Roman" w:hAnsi="Times New Roman"/>
          <w:sz w:val="24"/>
          <w:szCs w:val="24"/>
        </w:rPr>
        <w:t>Poistenie budovy - podľa pomeru prenajatej plochy k celkovej ploche</w:t>
      </w:r>
    </w:p>
    <w:p w14:paraId="6A085826" w14:textId="77777777" w:rsidR="001F62A6" w:rsidRPr="007A4A69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A69">
        <w:rPr>
          <w:rFonts w:ascii="Times New Roman" w:hAnsi="Times New Roman"/>
          <w:sz w:val="24"/>
          <w:szCs w:val="24"/>
        </w:rPr>
        <w:t>Daň z nehnuteľnosti - podľa pomeru prenajatej plochy k celkovej ploche</w:t>
      </w:r>
    </w:p>
    <w:p w14:paraId="5D2A97B9" w14:textId="77777777" w:rsidR="001F62A6" w:rsidRPr="007A4A69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A69">
        <w:rPr>
          <w:rFonts w:ascii="Times New Roman" w:hAnsi="Times New Roman"/>
          <w:sz w:val="24"/>
          <w:szCs w:val="24"/>
        </w:rPr>
        <w:t>Upratovanie spoločných priestorov - podľa pomeru prenajatej plochy k celkovej ploche</w:t>
      </w:r>
    </w:p>
    <w:p w14:paraId="72F83F1A" w14:textId="77777777" w:rsidR="001F62A6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A69">
        <w:rPr>
          <w:rFonts w:ascii="Times New Roman" w:hAnsi="Times New Roman"/>
          <w:sz w:val="24"/>
          <w:szCs w:val="24"/>
        </w:rPr>
        <w:t>Strážna služba - podľa pomeru prenajatej plochy k celkovej ploche</w:t>
      </w:r>
    </w:p>
    <w:p w14:paraId="00990BB0" w14:textId="64F054F6" w:rsidR="001F62A6" w:rsidRPr="001F62A6" w:rsidRDefault="001F62A6" w:rsidP="001F62A6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62A6">
        <w:rPr>
          <w:rFonts w:ascii="Times New Roman" w:hAnsi="Times New Roman"/>
          <w:sz w:val="24"/>
          <w:szCs w:val="24"/>
        </w:rPr>
        <w:t xml:space="preserve">Servis a revízie technológií - podľa pomeru prenajatej plochy k celkovej ploche </w:t>
      </w:r>
    </w:p>
    <w:p w14:paraId="26E1AC2B" w14:textId="7A82A24B" w:rsidR="00996DD2" w:rsidRPr="00996DD2" w:rsidRDefault="00996DD2" w:rsidP="001F62A6">
      <w:pPr>
        <w:numPr>
          <w:ilvl w:val="1"/>
          <w:numId w:val="8"/>
        </w:num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2A6">
        <w:rPr>
          <w:rFonts w:ascii="Times New Roman" w:eastAsiaTheme="minorHAnsi" w:hAnsi="Times New Roman"/>
          <w:sz w:val="24"/>
          <w:szCs w:val="24"/>
          <w:u w:val="single"/>
        </w:rPr>
        <w:t>vlastné prevádzkové náklady</w:t>
      </w:r>
      <w:r w:rsidRPr="00996DD2">
        <w:rPr>
          <w:rFonts w:ascii="Times New Roman" w:eastAsiaTheme="minorHAnsi" w:hAnsi="Times New Roman"/>
          <w:sz w:val="24"/>
          <w:szCs w:val="24"/>
        </w:rPr>
        <w:t xml:space="preserve"> nezahrnuté v cene za prenájom priestoru vyjadrené v EUR za 1m</w:t>
      </w:r>
      <w:r w:rsidRPr="00996DD2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996DD2">
        <w:rPr>
          <w:rFonts w:ascii="Times New Roman" w:eastAsiaTheme="minorHAnsi" w:hAnsi="Times New Roman"/>
          <w:sz w:val="24"/>
          <w:szCs w:val="24"/>
        </w:rPr>
        <w:t xml:space="preserve"> za 1 mesiac a mali by byť účtované ako mesačná zálohová platba, ktorá je vyúčtovaná vyúčtovacou faktúrou podľa skutočných nákladov minimálne 1 x ročne, pričom budú pokrývať nasledovné služby:</w:t>
      </w:r>
    </w:p>
    <w:p w14:paraId="3A96AB36" w14:textId="77777777" w:rsidR="00996DD2" w:rsidRPr="00996DD2" w:rsidRDefault="00996DD2" w:rsidP="00996DD2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96DD2">
        <w:rPr>
          <w:rFonts w:ascii="Times New Roman" w:eastAsiaTheme="minorHAnsi" w:hAnsi="Times New Roman"/>
          <w:sz w:val="24"/>
          <w:szCs w:val="24"/>
        </w:rPr>
        <w:t>Vodné a stočné - prenajaté priestory - podľa stavu vodomera,</w:t>
      </w:r>
    </w:p>
    <w:p w14:paraId="41331C4C" w14:textId="77777777" w:rsidR="00996DD2" w:rsidRPr="00996DD2" w:rsidRDefault="00996DD2" w:rsidP="00996DD2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96DD2">
        <w:rPr>
          <w:rFonts w:ascii="Times New Roman" w:eastAsiaTheme="minorHAnsi" w:hAnsi="Times New Roman"/>
          <w:sz w:val="24"/>
          <w:szCs w:val="24"/>
        </w:rPr>
        <w:t>Elektrická energia – prenajaté priestory - podľa stavu elektromera,</w:t>
      </w:r>
    </w:p>
    <w:p w14:paraId="60D155BE" w14:textId="77777777" w:rsidR="00996DD2" w:rsidRPr="00996DD2" w:rsidRDefault="00996DD2" w:rsidP="00996DD2">
      <w:pPr>
        <w:numPr>
          <w:ilvl w:val="2"/>
          <w:numId w:val="8"/>
        </w:num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96DD2">
        <w:rPr>
          <w:rFonts w:ascii="Times New Roman" w:eastAsiaTheme="minorHAnsi" w:hAnsi="Times New Roman"/>
          <w:sz w:val="24"/>
          <w:szCs w:val="24"/>
        </w:rPr>
        <w:t>Plyn - prenajaté priestory - podľa pomeru prenajatej plochy k celkovej ploche</w:t>
      </w:r>
    </w:p>
    <w:p w14:paraId="59D33476" w14:textId="3AA60A60" w:rsidR="00996DD2" w:rsidRPr="00996DD2" w:rsidRDefault="00BB6B29" w:rsidP="00996DD2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</w:t>
      </w:r>
      <w:r w:rsidR="00996DD2" w:rsidRPr="00996DD2">
        <w:rPr>
          <w:rFonts w:ascii="Times New Roman" w:eastAsiaTheme="minorHAnsi" w:hAnsi="Times New Roman"/>
          <w:sz w:val="24"/>
          <w:szCs w:val="24"/>
        </w:rPr>
        <w:t>ena za prenájom 1 parkovacieho státia v EUR za 1 mesiac bez DPH</w:t>
      </w:r>
      <w:r w:rsidR="0094571F">
        <w:rPr>
          <w:rFonts w:ascii="Times New Roman" w:eastAsiaTheme="minorHAnsi" w:hAnsi="Times New Roman"/>
          <w:sz w:val="24"/>
          <w:szCs w:val="24"/>
        </w:rPr>
        <w:t xml:space="preserve"> a s</w:t>
      </w:r>
      <w:r w:rsidR="0031266E">
        <w:rPr>
          <w:rFonts w:ascii="Times New Roman" w:eastAsiaTheme="minorHAnsi" w:hAnsi="Times New Roman"/>
          <w:sz w:val="24"/>
          <w:szCs w:val="24"/>
        </w:rPr>
        <w:t> </w:t>
      </w:r>
      <w:r w:rsidR="0094571F">
        <w:rPr>
          <w:rFonts w:ascii="Times New Roman" w:eastAsiaTheme="minorHAnsi" w:hAnsi="Times New Roman"/>
          <w:sz w:val="24"/>
          <w:szCs w:val="24"/>
        </w:rPr>
        <w:t>DPH</w:t>
      </w:r>
      <w:r w:rsidR="0031266E">
        <w:rPr>
          <w:rFonts w:ascii="Times New Roman" w:eastAsiaTheme="minorHAnsi" w:hAnsi="Times New Roman"/>
          <w:sz w:val="24"/>
          <w:szCs w:val="24"/>
        </w:rPr>
        <w:t xml:space="preserve"> </w:t>
      </w:r>
      <w:r w:rsidR="003E3528">
        <w:rPr>
          <w:rFonts w:ascii="Times New Roman" w:eastAsiaTheme="minorHAnsi" w:hAnsi="Times New Roman"/>
          <w:sz w:val="24"/>
          <w:szCs w:val="24"/>
        </w:rPr>
        <w:t>(z ponuky musí byť zrejmý</w:t>
      </w:r>
      <w:r w:rsidR="0031266E">
        <w:rPr>
          <w:rFonts w:ascii="Times New Roman" w:eastAsiaTheme="minorHAnsi" w:hAnsi="Times New Roman"/>
          <w:sz w:val="24"/>
          <w:szCs w:val="24"/>
        </w:rPr>
        <w:t xml:space="preserve"> </w:t>
      </w:r>
      <w:r w:rsidR="003E3528">
        <w:rPr>
          <w:rFonts w:ascii="Times New Roman" w:eastAsiaTheme="minorHAnsi" w:hAnsi="Times New Roman"/>
          <w:sz w:val="24"/>
          <w:szCs w:val="24"/>
        </w:rPr>
        <w:t>aj počet miest na parkovanie, ktoré budú predmetom prenájmu)</w:t>
      </w:r>
    </w:p>
    <w:p w14:paraId="00888A57" w14:textId="77777777" w:rsidR="00BB6B29" w:rsidRPr="00BB6B29" w:rsidRDefault="00BB6B29" w:rsidP="00BB6B29">
      <w:pPr>
        <w:pStyle w:val="Odsekzoznamu"/>
        <w:widowControl w:val="0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BB6B29">
        <w:rPr>
          <w:rFonts w:ascii="Times New Roman" w:eastAsia="Times New Roman" w:hAnsi="Times New Roman"/>
          <w:sz w:val="24"/>
          <w:szCs w:val="24"/>
        </w:rPr>
        <w:t>ďalšie požadované informácie:</w:t>
      </w:r>
    </w:p>
    <w:p w14:paraId="112FEA53" w14:textId="5446E9A6" w:rsidR="00BB6B29" w:rsidRPr="00BB6B29" w:rsidRDefault="00BB6B29" w:rsidP="00BB6B29">
      <w:pPr>
        <w:pStyle w:val="Odsekzoznamu"/>
        <w:widowControl w:val="0"/>
        <w:numPr>
          <w:ilvl w:val="1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</w:t>
      </w:r>
      <w:r w:rsidRPr="00BB6B29">
        <w:rPr>
          <w:rFonts w:ascii="Times New Roman" w:eastAsia="Times New Roman" w:hAnsi="Times New Roman"/>
          <w:sz w:val="24"/>
          <w:szCs w:val="24"/>
        </w:rPr>
        <w:t>ýška kontribúcie prenajímateľa na 1m</w:t>
      </w:r>
      <w:r w:rsidRPr="00BB6B2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6B29">
        <w:rPr>
          <w:rFonts w:ascii="Times New Roman" w:eastAsia="Times New Roman" w:hAnsi="Times New Roman"/>
          <w:sz w:val="24"/>
          <w:szCs w:val="24"/>
        </w:rPr>
        <w:t xml:space="preserve"> na stavebné a iné úpravy priestoru na mieru pre nájomcu</w:t>
      </w:r>
    </w:p>
    <w:p w14:paraId="763D26E6" w14:textId="3E5E9E71" w:rsidR="00BB6B29" w:rsidRPr="00BB6B29" w:rsidRDefault="00BB6B29" w:rsidP="00BB6B29">
      <w:pPr>
        <w:pStyle w:val="Odsekzoznamu"/>
        <w:widowControl w:val="0"/>
        <w:numPr>
          <w:ilvl w:val="1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</w:t>
      </w:r>
      <w:r w:rsidRPr="00BB6B29">
        <w:rPr>
          <w:rFonts w:ascii="Times New Roman" w:eastAsia="Times New Roman" w:hAnsi="Times New Roman"/>
          <w:sz w:val="24"/>
          <w:szCs w:val="24"/>
        </w:rPr>
        <w:t>ýška zľavy z nájomného (t</w:t>
      </w:r>
      <w:r>
        <w:rPr>
          <w:rFonts w:ascii="Times New Roman" w:eastAsia="Times New Roman" w:hAnsi="Times New Roman"/>
          <w:sz w:val="24"/>
          <w:szCs w:val="24"/>
        </w:rPr>
        <w:t>zv. nájomné prázdniny) vyjadrená</w:t>
      </w:r>
      <w:r w:rsidRPr="00BB6B29">
        <w:rPr>
          <w:rFonts w:ascii="Times New Roman" w:eastAsia="Times New Roman" w:hAnsi="Times New Roman"/>
          <w:sz w:val="24"/>
          <w:szCs w:val="24"/>
        </w:rPr>
        <w:t xml:space="preserve"> v počte mesiacov a v celkovej sume</w:t>
      </w:r>
    </w:p>
    <w:p w14:paraId="181475AD" w14:textId="48C29BB3" w:rsidR="00712C21" w:rsidRDefault="003E3528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13</w:t>
      </w:r>
      <w:r w:rsidR="00722CEC" w:rsidRPr="00751395">
        <w:rPr>
          <w:rFonts w:ascii="Times New Roman" w:eastAsiaTheme="minorHAnsi" w:hAnsi="Times New Roman"/>
          <w:b/>
          <w:bCs/>
          <w:sz w:val="24"/>
          <w:szCs w:val="24"/>
        </w:rPr>
        <w:t>. Lehota na predkladanie ponúk uplynie dňa:</w:t>
      </w:r>
    </w:p>
    <w:p w14:paraId="06337E31" w14:textId="77777777" w:rsidR="00376716" w:rsidRDefault="00376716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8C803CC" w14:textId="4A14CC6D" w:rsidR="00722CEC" w:rsidRPr="00751395" w:rsidRDefault="00B21E11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A50448">
        <w:rPr>
          <w:rFonts w:ascii="Times New Roman" w:eastAsiaTheme="minorHAnsi" w:hAnsi="Times New Roman"/>
          <w:sz w:val="24"/>
          <w:szCs w:val="24"/>
        </w:rPr>
        <w:t>5</w:t>
      </w:r>
      <w:r w:rsidR="001B526E" w:rsidRPr="00101318">
        <w:rPr>
          <w:rFonts w:ascii="Times New Roman" w:eastAsiaTheme="minorHAnsi" w:hAnsi="Times New Roman"/>
          <w:sz w:val="24"/>
          <w:szCs w:val="24"/>
        </w:rPr>
        <w:t>.0</w:t>
      </w:r>
      <w:r w:rsidR="00E27568">
        <w:rPr>
          <w:rFonts w:ascii="Times New Roman" w:eastAsiaTheme="minorHAnsi" w:hAnsi="Times New Roman"/>
          <w:sz w:val="24"/>
          <w:szCs w:val="24"/>
        </w:rPr>
        <w:t>4</w:t>
      </w:r>
      <w:r w:rsidR="00685E13" w:rsidRPr="00101318">
        <w:rPr>
          <w:rFonts w:ascii="Times New Roman" w:eastAsiaTheme="minorHAnsi" w:hAnsi="Times New Roman"/>
          <w:sz w:val="24"/>
          <w:szCs w:val="24"/>
        </w:rPr>
        <w:t>.2018</w:t>
      </w:r>
      <w:r w:rsidR="004D3CA2">
        <w:rPr>
          <w:rFonts w:ascii="Times New Roman" w:eastAsiaTheme="minorHAnsi" w:hAnsi="Times New Roman"/>
          <w:sz w:val="24"/>
          <w:szCs w:val="24"/>
        </w:rPr>
        <w:t xml:space="preserve"> do 1</w:t>
      </w:r>
      <w:r w:rsidR="00A50448">
        <w:rPr>
          <w:rFonts w:ascii="Times New Roman" w:eastAsiaTheme="minorHAnsi" w:hAnsi="Times New Roman"/>
          <w:sz w:val="24"/>
          <w:szCs w:val="24"/>
        </w:rPr>
        <w:t>2</w:t>
      </w:r>
      <w:bookmarkStart w:id="0" w:name="_GoBack"/>
      <w:bookmarkEnd w:id="0"/>
      <w:r w:rsidR="00107B7F" w:rsidRPr="00101318">
        <w:rPr>
          <w:rFonts w:ascii="Times New Roman" w:eastAsiaTheme="minorHAnsi" w:hAnsi="Times New Roman"/>
          <w:sz w:val="24"/>
          <w:szCs w:val="24"/>
        </w:rPr>
        <w:t>.00 hod.</w:t>
      </w:r>
    </w:p>
    <w:p w14:paraId="787C318D" w14:textId="77777777" w:rsidR="00722CEC" w:rsidRPr="00751395" w:rsidRDefault="00722CEC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F85D4F3" w14:textId="7E5354F2" w:rsidR="00722CEC" w:rsidRPr="00751395" w:rsidRDefault="003E3528" w:rsidP="00722CE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14</w:t>
      </w:r>
      <w:r w:rsidR="00722CEC" w:rsidRPr="00751395">
        <w:rPr>
          <w:rFonts w:ascii="Times New Roman" w:eastAsiaTheme="minorHAnsi" w:hAnsi="Times New Roman"/>
          <w:b/>
          <w:bCs/>
          <w:sz w:val="24"/>
          <w:szCs w:val="24"/>
        </w:rPr>
        <w:t xml:space="preserve">. Miesto na predloženie ponúk: </w:t>
      </w:r>
    </w:p>
    <w:p w14:paraId="7CFC34F5" w14:textId="77777777" w:rsidR="00376716" w:rsidRDefault="00376716" w:rsidP="00722CEC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5C474950" w14:textId="065A849F" w:rsidR="00722CEC" w:rsidRDefault="009670F4" w:rsidP="00BC07AE">
      <w:pPr>
        <w:autoSpaceDE w:val="0"/>
        <w:autoSpaceDN w:val="0"/>
        <w:spacing w:after="0" w:line="240" w:lineRule="auto"/>
        <w:jc w:val="both"/>
        <w:rPr>
          <w:rStyle w:val="Hypertextovprepojenie"/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Ponuku je potrebné doručiť výlučne elektronicky,</w:t>
      </w:r>
      <w:r w:rsidR="00F035F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E330C">
        <w:rPr>
          <w:rFonts w:ascii="Times New Roman" w:eastAsiaTheme="minorHAnsi" w:hAnsi="Times New Roman"/>
          <w:bCs/>
          <w:sz w:val="24"/>
          <w:szCs w:val="24"/>
        </w:rPr>
        <w:t>do uplynutia lehoty na predkladanie ponúk,</w:t>
      </w:r>
      <w:r w:rsidR="004D3CA2">
        <w:rPr>
          <w:rFonts w:ascii="Times New Roman" w:eastAsiaTheme="minorHAnsi" w:hAnsi="Times New Roman"/>
          <w:bCs/>
          <w:sz w:val="24"/>
          <w:szCs w:val="24"/>
        </w:rPr>
        <w:t xml:space="preserve"> a to na obidve adresy</w:t>
      </w:r>
      <w:r>
        <w:rPr>
          <w:rFonts w:ascii="Times New Roman" w:eastAsiaTheme="minorHAnsi" w:hAnsi="Times New Roman"/>
          <w:bCs/>
          <w:sz w:val="24"/>
          <w:szCs w:val="24"/>
        </w:rPr>
        <w:t>:</w:t>
      </w:r>
      <w:r w:rsidR="00F035F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hyperlink r:id="rId10" w:history="1">
        <w:r w:rsidR="001B526E" w:rsidRPr="00B80390">
          <w:rPr>
            <w:rStyle w:val="Hypertextovprepojenie"/>
            <w:rFonts w:ascii="Times New Roman" w:eastAsiaTheme="minorHAnsi" w:hAnsi="Times New Roman"/>
            <w:bCs/>
            <w:sz w:val="24"/>
            <w:szCs w:val="24"/>
          </w:rPr>
          <w:t>peter.sestak@vicepremier.gov.sk</w:t>
        </w:r>
      </w:hyperlink>
      <w:r w:rsidR="004D3CA2">
        <w:rPr>
          <w:rStyle w:val="Hypertextovprepojenie"/>
          <w:rFonts w:ascii="Times New Roman" w:eastAsiaTheme="minorHAnsi" w:hAnsi="Times New Roman"/>
          <w:bCs/>
          <w:sz w:val="24"/>
          <w:szCs w:val="24"/>
        </w:rPr>
        <w:t xml:space="preserve">; </w:t>
      </w:r>
      <w:hyperlink r:id="rId11" w:history="1">
        <w:r w:rsidR="003E3528" w:rsidRPr="00406C75">
          <w:rPr>
            <w:rStyle w:val="Hypertextovprepojenie"/>
            <w:rFonts w:ascii="Times New Roman" w:eastAsiaTheme="minorHAnsi" w:hAnsi="Times New Roman"/>
            <w:bCs/>
            <w:sz w:val="24"/>
            <w:szCs w:val="24"/>
          </w:rPr>
          <w:t>magdalena.klucarova</w:t>
        </w:r>
        <w:r w:rsidR="003E3528" w:rsidRPr="00406C75">
          <w:rPr>
            <w:rStyle w:val="Hypertextovprepojenie"/>
            <w:rFonts w:ascii="Times New Roman" w:eastAsiaTheme="minorHAnsi" w:hAnsi="Times New Roman"/>
            <w:bCs/>
            <w:sz w:val="24"/>
            <w:szCs w:val="24"/>
            <w:lang w:val="en-US"/>
          </w:rPr>
          <w:t>@vicepremier.gov.sk</w:t>
        </w:r>
      </w:hyperlink>
    </w:p>
    <w:p w14:paraId="35D47681" w14:textId="77777777" w:rsidR="009670F4" w:rsidRDefault="009670F4" w:rsidP="00722CEC">
      <w:pPr>
        <w:autoSpaceDE w:val="0"/>
        <w:autoSpaceDN w:val="0"/>
        <w:spacing w:after="0" w:line="240" w:lineRule="auto"/>
        <w:jc w:val="both"/>
        <w:rPr>
          <w:rStyle w:val="Hypertextovprepojenie"/>
          <w:rFonts w:ascii="Times New Roman" w:eastAsiaTheme="minorHAnsi" w:hAnsi="Times New Roman"/>
          <w:bCs/>
          <w:sz w:val="24"/>
          <w:szCs w:val="24"/>
        </w:rPr>
      </w:pPr>
    </w:p>
    <w:p w14:paraId="5682C664" w14:textId="77777777" w:rsidR="007B4378" w:rsidRDefault="007B4378" w:rsidP="009670F4">
      <w:pPr>
        <w:pStyle w:val="Default"/>
        <w:jc w:val="both"/>
        <w:rPr>
          <w:rFonts w:ascii="Times New Roman" w:hAnsi="Times New Roman" w:cs="Times New Roman"/>
          <w:b/>
        </w:rPr>
      </w:pPr>
    </w:p>
    <w:p w14:paraId="15B4A19B" w14:textId="4AC5CFE5" w:rsidR="009E3898" w:rsidRDefault="003E3528" w:rsidP="009670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9670F4">
        <w:rPr>
          <w:rFonts w:ascii="Times New Roman" w:hAnsi="Times New Roman" w:cs="Times New Roman"/>
          <w:b/>
        </w:rPr>
        <w:t xml:space="preserve">. </w:t>
      </w:r>
      <w:r w:rsidR="009670F4" w:rsidRPr="004369E5">
        <w:rPr>
          <w:rFonts w:ascii="Times New Roman" w:hAnsi="Times New Roman" w:cs="Times New Roman"/>
          <w:b/>
        </w:rPr>
        <w:t>Ponuka musí obsahovať:</w:t>
      </w:r>
      <w:r w:rsidR="009670F4" w:rsidRPr="004369E5">
        <w:rPr>
          <w:rFonts w:ascii="Times New Roman" w:hAnsi="Times New Roman" w:cs="Times New Roman"/>
        </w:rPr>
        <w:t xml:space="preserve"> </w:t>
      </w:r>
    </w:p>
    <w:p w14:paraId="4158E7F0" w14:textId="77777777" w:rsidR="00376716" w:rsidRPr="004369E5" w:rsidRDefault="00376716" w:rsidP="009670F4">
      <w:pPr>
        <w:pStyle w:val="Default"/>
        <w:jc w:val="both"/>
        <w:rPr>
          <w:rFonts w:ascii="Times New Roman" w:hAnsi="Times New Roman" w:cs="Times New Roman"/>
        </w:rPr>
      </w:pPr>
    </w:p>
    <w:p w14:paraId="6168176E" w14:textId="2D7AB3C1" w:rsidR="009670F4" w:rsidRDefault="009670F4" w:rsidP="005E330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369E5">
        <w:rPr>
          <w:rFonts w:ascii="Times New Roman" w:hAnsi="Times New Roman"/>
          <w:color w:val="000000"/>
          <w:sz w:val="24"/>
          <w:szCs w:val="24"/>
        </w:rPr>
        <w:t xml:space="preserve">Doklady a dokumenty, ktorým uchádzač preukáže splnenie podmienok účasti </w:t>
      </w:r>
      <w:r w:rsidR="005E330C">
        <w:rPr>
          <w:rFonts w:ascii="Times New Roman" w:hAnsi="Times New Roman"/>
          <w:color w:val="000000"/>
          <w:sz w:val="24"/>
          <w:szCs w:val="24"/>
        </w:rPr>
        <w:t>(</w:t>
      </w:r>
      <w:r w:rsidR="005E330C" w:rsidRPr="005E330C">
        <w:rPr>
          <w:rFonts w:ascii="Times New Roman" w:hAnsi="Times New Roman"/>
          <w:color w:val="000000"/>
          <w:sz w:val="24"/>
          <w:szCs w:val="24"/>
        </w:rPr>
        <w:t>živnostenský list alebo výpis z obchodného registra</w:t>
      </w:r>
      <w:r w:rsidR="005E330C">
        <w:rPr>
          <w:rFonts w:ascii="Times New Roman" w:hAnsi="Times New Roman"/>
          <w:color w:val="000000"/>
          <w:sz w:val="24"/>
          <w:szCs w:val="24"/>
        </w:rPr>
        <w:t>)</w:t>
      </w:r>
    </w:p>
    <w:p w14:paraId="7157B717" w14:textId="6DED9B79" w:rsidR="009670F4" w:rsidRPr="00AD57E5" w:rsidRDefault="009670F4" w:rsidP="00AD57E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D57E5">
        <w:rPr>
          <w:rFonts w:ascii="Times New Roman" w:eastAsiaTheme="minorHAnsi" w:hAnsi="Times New Roman"/>
          <w:sz w:val="24"/>
          <w:szCs w:val="24"/>
        </w:rPr>
        <w:t>Doplnený a podpísaný Návrh na plnenie kritér</w:t>
      </w:r>
      <w:r w:rsidR="00C131AB">
        <w:rPr>
          <w:rFonts w:ascii="Times New Roman" w:eastAsiaTheme="minorHAnsi" w:hAnsi="Times New Roman"/>
          <w:sz w:val="24"/>
          <w:szCs w:val="24"/>
        </w:rPr>
        <w:t>i</w:t>
      </w:r>
      <w:r w:rsidR="003E3528">
        <w:rPr>
          <w:rFonts w:ascii="Times New Roman" w:eastAsiaTheme="minorHAnsi" w:hAnsi="Times New Roman"/>
          <w:sz w:val="24"/>
          <w:szCs w:val="24"/>
        </w:rPr>
        <w:t>a</w:t>
      </w:r>
      <w:r w:rsidRPr="00AD57E5">
        <w:rPr>
          <w:rFonts w:ascii="Times New Roman" w:eastAsiaTheme="minorHAnsi" w:hAnsi="Times New Roman"/>
          <w:sz w:val="24"/>
          <w:szCs w:val="24"/>
        </w:rPr>
        <w:t xml:space="preserve"> určen</w:t>
      </w:r>
      <w:r w:rsidR="00711543">
        <w:rPr>
          <w:rFonts w:ascii="Times New Roman" w:eastAsiaTheme="minorHAnsi" w:hAnsi="Times New Roman"/>
          <w:sz w:val="24"/>
          <w:szCs w:val="24"/>
        </w:rPr>
        <w:t>é</w:t>
      </w:r>
      <w:r w:rsidR="003E3528">
        <w:rPr>
          <w:rFonts w:ascii="Times New Roman" w:eastAsiaTheme="minorHAnsi" w:hAnsi="Times New Roman"/>
          <w:sz w:val="24"/>
          <w:szCs w:val="24"/>
        </w:rPr>
        <w:t>ho</w:t>
      </w:r>
      <w:r w:rsidRPr="00AD57E5">
        <w:rPr>
          <w:rFonts w:ascii="Times New Roman" w:eastAsiaTheme="minorHAnsi" w:hAnsi="Times New Roman"/>
          <w:sz w:val="24"/>
          <w:szCs w:val="24"/>
        </w:rPr>
        <w:t xml:space="preserve"> verejným obstarávateľom na </w:t>
      </w:r>
    </w:p>
    <w:p w14:paraId="5323FDB2" w14:textId="7F5838D1" w:rsidR="00C131AB" w:rsidRDefault="009670F4" w:rsidP="00E27568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57E5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5E330C" w:rsidRPr="00AD57E5">
        <w:rPr>
          <w:rFonts w:ascii="Times New Roman" w:eastAsiaTheme="minorHAnsi" w:hAnsi="Times New Roman"/>
          <w:sz w:val="24"/>
          <w:szCs w:val="24"/>
        </w:rPr>
        <w:t>vy</w:t>
      </w:r>
      <w:r w:rsidRPr="00AD57E5">
        <w:rPr>
          <w:rFonts w:ascii="Times New Roman" w:eastAsiaTheme="minorHAnsi" w:hAnsi="Times New Roman"/>
          <w:sz w:val="24"/>
          <w:szCs w:val="24"/>
        </w:rPr>
        <w:t>hod</w:t>
      </w:r>
      <w:r w:rsidR="003E3528">
        <w:rPr>
          <w:rFonts w:ascii="Times New Roman" w:eastAsiaTheme="minorHAnsi" w:hAnsi="Times New Roman"/>
          <w:sz w:val="24"/>
          <w:szCs w:val="24"/>
        </w:rPr>
        <w:t>notenie ponúk – podľa bodu č. 16</w:t>
      </w:r>
      <w:r w:rsidR="005E330C" w:rsidRPr="00AD57E5">
        <w:rPr>
          <w:rFonts w:ascii="Times New Roman" w:eastAsiaTheme="minorHAnsi" w:hAnsi="Times New Roman"/>
          <w:sz w:val="24"/>
          <w:szCs w:val="24"/>
        </w:rPr>
        <w:t xml:space="preserve"> tejto výzvy</w:t>
      </w:r>
    </w:p>
    <w:p w14:paraId="100B8ADB" w14:textId="0CDD3EB2" w:rsidR="00711543" w:rsidRDefault="00711543" w:rsidP="00E27568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Vyplnenú prílohu č. 1 k výzve na predkladanie ponúk, ktorou je cenová kalkulácia obsahujúca položkovitý rozpočet za služby nájmu</w:t>
      </w:r>
    </w:p>
    <w:p w14:paraId="61377E87" w14:textId="162FF83B" w:rsidR="00213FC4" w:rsidRPr="00213FC4" w:rsidRDefault="009A1951" w:rsidP="00E27568">
      <w:pPr>
        <w:pStyle w:val="Odsekzoznamu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13FC4">
        <w:rPr>
          <w:rFonts w:ascii="Times New Roman" w:eastAsiaTheme="minorHAnsi" w:hAnsi="Times New Roman"/>
          <w:sz w:val="24"/>
          <w:szCs w:val="24"/>
        </w:rPr>
        <w:t>Vyplnenú prílohu č. 2</w:t>
      </w:r>
      <w:r w:rsidR="00213FC4" w:rsidRPr="00213FC4">
        <w:rPr>
          <w:rFonts w:ascii="Times New Roman" w:eastAsiaTheme="minorHAnsi" w:hAnsi="Times New Roman"/>
          <w:sz w:val="24"/>
          <w:szCs w:val="24"/>
        </w:rPr>
        <w:t>, ktorou je „Podrobný opis ponúknutých priestorov a parkovacích miest“</w:t>
      </w:r>
      <w:r w:rsidR="00213FC4">
        <w:rPr>
          <w:rFonts w:ascii="Times New Roman" w:eastAsiaTheme="minorHAnsi" w:hAnsi="Times New Roman"/>
          <w:sz w:val="24"/>
          <w:szCs w:val="24"/>
        </w:rPr>
        <w:t>, „</w:t>
      </w:r>
      <w:r w:rsidR="00213FC4" w:rsidRPr="00213FC4">
        <w:rPr>
          <w:rFonts w:ascii="Times New Roman" w:eastAsiaTheme="minorHAnsi" w:hAnsi="Times New Roman"/>
          <w:sz w:val="24"/>
          <w:szCs w:val="24"/>
        </w:rPr>
        <w:t>Technická a technologická špecifi</w:t>
      </w:r>
      <w:r w:rsidR="00213FC4">
        <w:rPr>
          <w:rFonts w:ascii="Times New Roman" w:eastAsiaTheme="minorHAnsi" w:hAnsi="Times New Roman"/>
          <w:sz w:val="24"/>
          <w:szCs w:val="24"/>
        </w:rPr>
        <w:t>kácia ponúknutých priestorov a b</w:t>
      </w:r>
      <w:r w:rsidR="00213FC4" w:rsidRPr="00213FC4">
        <w:rPr>
          <w:rFonts w:ascii="Times New Roman" w:eastAsiaTheme="minorHAnsi" w:hAnsi="Times New Roman"/>
          <w:sz w:val="24"/>
          <w:szCs w:val="24"/>
        </w:rPr>
        <w:t>udovy</w:t>
      </w:r>
      <w:r w:rsidR="00213FC4">
        <w:rPr>
          <w:rFonts w:ascii="Times New Roman" w:eastAsiaTheme="minorHAnsi" w:hAnsi="Times New Roman"/>
          <w:sz w:val="24"/>
          <w:szCs w:val="24"/>
        </w:rPr>
        <w:t>“</w:t>
      </w:r>
      <w:r w:rsidR="00213FC4" w:rsidRPr="00213FC4">
        <w:t xml:space="preserve"> </w:t>
      </w:r>
      <w:r w:rsidR="00213FC4">
        <w:rPr>
          <w:rFonts w:ascii="Times New Roman" w:eastAsiaTheme="minorHAnsi" w:hAnsi="Times New Roman"/>
          <w:sz w:val="24"/>
          <w:szCs w:val="24"/>
        </w:rPr>
        <w:t>a „</w:t>
      </w:r>
      <w:r w:rsidR="00213FC4" w:rsidRPr="00213FC4">
        <w:rPr>
          <w:rFonts w:ascii="Times New Roman" w:eastAsiaTheme="minorHAnsi" w:hAnsi="Times New Roman"/>
          <w:sz w:val="24"/>
          <w:szCs w:val="24"/>
        </w:rPr>
        <w:t>Pôdorys rozmiestnenia miestností na jednotliv</w:t>
      </w:r>
      <w:r w:rsidR="00213FC4">
        <w:rPr>
          <w:rFonts w:ascii="Times New Roman" w:eastAsiaTheme="minorHAnsi" w:hAnsi="Times New Roman"/>
          <w:sz w:val="24"/>
          <w:szCs w:val="24"/>
        </w:rPr>
        <w:t xml:space="preserve">ých podlažiach </w:t>
      </w:r>
      <w:r w:rsidR="00213FC4" w:rsidRPr="00213FC4">
        <w:rPr>
          <w:rFonts w:ascii="Times New Roman" w:eastAsiaTheme="minorHAnsi" w:hAnsi="Times New Roman"/>
          <w:sz w:val="24"/>
          <w:szCs w:val="24"/>
        </w:rPr>
        <w:t>(tzv. floor plan)</w:t>
      </w:r>
      <w:r w:rsidR="00213FC4">
        <w:rPr>
          <w:rFonts w:ascii="Times New Roman" w:eastAsiaTheme="minorHAnsi" w:hAnsi="Times New Roman"/>
          <w:sz w:val="24"/>
          <w:szCs w:val="24"/>
        </w:rPr>
        <w:t>“</w:t>
      </w:r>
    </w:p>
    <w:p w14:paraId="4D17EF48" w14:textId="2D7D5E9E" w:rsidR="009670F4" w:rsidRPr="00E27568" w:rsidRDefault="009670F4" w:rsidP="00E27568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050533B" w14:textId="30B6BBA7" w:rsidR="008778DE" w:rsidRDefault="009670F4" w:rsidP="009670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9E5">
        <w:rPr>
          <w:rFonts w:ascii="Times New Roman" w:hAnsi="Times New Roman"/>
          <w:sz w:val="24"/>
          <w:szCs w:val="24"/>
        </w:rPr>
        <w:t>Verejný obstarávateľ po vyhodnotení ponúk bezodkladne zašle informáciu o vyhod</w:t>
      </w:r>
      <w:r>
        <w:rPr>
          <w:rFonts w:ascii="Times New Roman" w:hAnsi="Times New Roman"/>
          <w:sz w:val="24"/>
          <w:szCs w:val="24"/>
        </w:rPr>
        <w:t>notení ponúk všetkým uchádzačom</w:t>
      </w:r>
      <w:r w:rsidRPr="004369E5">
        <w:rPr>
          <w:rFonts w:ascii="Times New Roman" w:hAnsi="Times New Roman"/>
          <w:sz w:val="24"/>
          <w:szCs w:val="24"/>
        </w:rPr>
        <w:t xml:space="preserve">. Verejný obstarávateľ </w:t>
      </w:r>
      <w:r w:rsidR="00376E59">
        <w:rPr>
          <w:rFonts w:ascii="Times New Roman" w:hAnsi="Times New Roman"/>
          <w:sz w:val="24"/>
          <w:szCs w:val="24"/>
        </w:rPr>
        <w:t xml:space="preserve">bude </w:t>
      </w:r>
      <w:r w:rsidRPr="004369E5">
        <w:rPr>
          <w:rFonts w:ascii="Times New Roman" w:hAnsi="Times New Roman"/>
          <w:sz w:val="24"/>
          <w:szCs w:val="24"/>
        </w:rPr>
        <w:t xml:space="preserve">úspešného uchádzača kontaktovať </w:t>
      </w:r>
      <w:r w:rsidR="00711543">
        <w:rPr>
          <w:rFonts w:ascii="Times New Roman" w:hAnsi="Times New Roman"/>
          <w:sz w:val="24"/>
          <w:szCs w:val="24"/>
        </w:rPr>
        <w:t>e-mailom</w:t>
      </w:r>
      <w:r w:rsidRPr="004369E5">
        <w:rPr>
          <w:rFonts w:ascii="Times New Roman" w:hAnsi="Times New Roman"/>
          <w:sz w:val="24"/>
          <w:szCs w:val="24"/>
        </w:rPr>
        <w:t xml:space="preserve"> ihneď po vyhodnotení. </w:t>
      </w:r>
      <w:r>
        <w:rPr>
          <w:rFonts w:ascii="Times New Roman" w:hAnsi="Times New Roman"/>
          <w:sz w:val="24"/>
          <w:szCs w:val="24"/>
        </w:rPr>
        <w:t>S úspešným uchádzač</w:t>
      </w:r>
      <w:r w:rsidRPr="00870B83">
        <w:rPr>
          <w:rFonts w:ascii="Times New Roman" w:hAnsi="Times New Roman"/>
          <w:sz w:val="24"/>
          <w:szCs w:val="24"/>
        </w:rPr>
        <w:t xml:space="preserve">om bude podpísaná </w:t>
      </w:r>
      <w:r w:rsidR="007A1ECC">
        <w:rPr>
          <w:rFonts w:ascii="Times New Roman" w:hAnsi="Times New Roman"/>
          <w:sz w:val="24"/>
          <w:szCs w:val="24"/>
        </w:rPr>
        <w:t>zmluva o nájme nebytových priestorov.</w:t>
      </w:r>
    </w:p>
    <w:p w14:paraId="113DB97A" w14:textId="4C96D14A" w:rsidR="00372AD0" w:rsidRDefault="007A1ECC" w:rsidP="009670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</w:t>
      </w:r>
      <w:r w:rsidR="00372AD0">
        <w:rPr>
          <w:rFonts w:ascii="Times New Roman" w:hAnsi="Times New Roman"/>
          <w:b/>
          <w:bCs/>
        </w:rPr>
        <w:t xml:space="preserve">. </w:t>
      </w:r>
      <w:r w:rsidR="00372AD0" w:rsidRPr="00BA5234">
        <w:rPr>
          <w:rFonts w:ascii="Times New Roman" w:hAnsi="Times New Roman"/>
          <w:b/>
          <w:bCs/>
        </w:rPr>
        <w:t>Návrh na plnenie kritéria určeného verejným obstarávateľom na hodnotenie ponúk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3030"/>
        <w:gridCol w:w="3123"/>
        <w:gridCol w:w="2410"/>
      </w:tblGrid>
      <w:tr w:rsidR="00372AD0" w:rsidRPr="002E78B2" w14:paraId="5DC6D72C" w14:textId="77777777" w:rsidTr="00D9292F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1B6C" w14:textId="5A194AEC" w:rsidR="00372AD0" w:rsidRPr="00372AD0" w:rsidRDefault="00372AD0" w:rsidP="00372AD0">
            <w:pPr>
              <w:pStyle w:val="Hlavika"/>
              <w:tabs>
                <w:tab w:val="clear" w:pos="4536"/>
                <w:tab w:val="clear" w:pos="9072"/>
              </w:tabs>
            </w:pPr>
            <w:r w:rsidRPr="00372AD0">
              <w:t xml:space="preserve">                                                                                          Návrh na plnenie kritéria</w:t>
            </w:r>
          </w:p>
        </w:tc>
      </w:tr>
      <w:tr w:rsidR="00376E59" w:rsidRPr="002E78B2" w14:paraId="75A8F92B" w14:textId="77777777" w:rsidTr="00A15262">
        <w:tc>
          <w:tcPr>
            <w:tcW w:w="363" w:type="dxa"/>
            <w:shd w:val="clear" w:color="auto" w:fill="auto"/>
          </w:tcPr>
          <w:p w14:paraId="3039A421" w14:textId="77777777" w:rsidR="00376E59" w:rsidRPr="002E78B2" w:rsidRDefault="00376E59" w:rsidP="00B06E94">
            <w:pPr>
              <w:pStyle w:val="Hlavika"/>
              <w:tabs>
                <w:tab w:val="clear" w:pos="4536"/>
                <w:tab w:val="clear" w:pos="9072"/>
              </w:tabs>
            </w:pPr>
          </w:p>
        </w:tc>
        <w:tc>
          <w:tcPr>
            <w:tcW w:w="3030" w:type="dxa"/>
            <w:shd w:val="clear" w:color="auto" w:fill="auto"/>
          </w:tcPr>
          <w:p w14:paraId="57F38989" w14:textId="1571CDCA" w:rsidR="00376E59" w:rsidRPr="00372AD0" w:rsidRDefault="00376E59" w:rsidP="00B06E94">
            <w:pPr>
              <w:pStyle w:val="Hlavika"/>
              <w:tabs>
                <w:tab w:val="clear" w:pos="4536"/>
                <w:tab w:val="clear" w:pos="9072"/>
              </w:tabs>
            </w:pPr>
            <w:r>
              <w:t>Kritérium</w:t>
            </w:r>
          </w:p>
        </w:tc>
        <w:tc>
          <w:tcPr>
            <w:tcW w:w="3123" w:type="dxa"/>
            <w:shd w:val="clear" w:color="auto" w:fill="auto"/>
          </w:tcPr>
          <w:p w14:paraId="34F042C8" w14:textId="5CBE8DAD" w:rsidR="00376E59" w:rsidRPr="00372AD0" w:rsidRDefault="00A15262" w:rsidP="00B06E94">
            <w:pPr>
              <w:pStyle w:val="Hlavika"/>
              <w:tabs>
                <w:tab w:val="clear" w:pos="4536"/>
                <w:tab w:val="clear" w:pos="9072"/>
              </w:tabs>
            </w:pPr>
            <w:r>
              <w:t>C</w:t>
            </w:r>
            <w:r w:rsidR="00376E59">
              <w:t>ena</w:t>
            </w:r>
            <w:r>
              <w:t xml:space="preserve"> celkom</w:t>
            </w:r>
            <w:r w:rsidR="00376E59">
              <w:t xml:space="preserve"> v € </w:t>
            </w:r>
            <w:r w:rsidR="00376E59" w:rsidRPr="00372AD0">
              <w:t>bez DPH</w:t>
            </w:r>
          </w:p>
        </w:tc>
        <w:tc>
          <w:tcPr>
            <w:tcW w:w="2410" w:type="dxa"/>
            <w:shd w:val="clear" w:color="auto" w:fill="auto"/>
          </w:tcPr>
          <w:p w14:paraId="77B1A8E3" w14:textId="2EC45810" w:rsidR="00376E59" w:rsidRPr="00372AD0" w:rsidRDefault="00A15262" w:rsidP="00B06E94">
            <w:pPr>
              <w:pStyle w:val="Hlavika"/>
              <w:tabs>
                <w:tab w:val="clear" w:pos="4536"/>
                <w:tab w:val="clear" w:pos="9072"/>
              </w:tabs>
            </w:pPr>
            <w:r>
              <w:t>Cena celkom v € s</w:t>
            </w:r>
            <w:r w:rsidRPr="00372AD0">
              <w:t xml:space="preserve"> DPH</w:t>
            </w:r>
          </w:p>
        </w:tc>
      </w:tr>
      <w:tr w:rsidR="00376E59" w:rsidRPr="002E78B2" w14:paraId="65E61428" w14:textId="77777777" w:rsidTr="00A15262">
        <w:trPr>
          <w:trHeight w:val="770"/>
        </w:trPr>
        <w:tc>
          <w:tcPr>
            <w:tcW w:w="363" w:type="dxa"/>
            <w:shd w:val="clear" w:color="auto" w:fill="auto"/>
          </w:tcPr>
          <w:p w14:paraId="6E6BE579" w14:textId="50AF8708" w:rsidR="00376E59" w:rsidRPr="002E78B2" w:rsidRDefault="00376E59" w:rsidP="00B06E94">
            <w:pPr>
              <w:pStyle w:val="Hlavika"/>
              <w:tabs>
                <w:tab w:val="clear" w:pos="4536"/>
                <w:tab w:val="clear" w:pos="9072"/>
              </w:tabs>
            </w:pPr>
            <w:r>
              <w:t>1</w:t>
            </w:r>
          </w:p>
        </w:tc>
        <w:tc>
          <w:tcPr>
            <w:tcW w:w="3030" w:type="dxa"/>
            <w:shd w:val="clear" w:color="auto" w:fill="auto"/>
          </w:tcPr>
          <w:p w14:paraId="4772FD75" w14:textId="5E41923E" w:rsidR="00376E59" w:rsidRPr="00D9292F" w:rsidRDefault="007A1ECC" w:rsidP="00B06E94">
            <w:pPr>
              <w:pStyle w:val="Hlavika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Celková cena za </w:t>
            </w:r>
            <w:r w:rsidR="00A15262">
              <w:rPr>
                <w:b/>
              </w:rPr>
              <w:t>poskytnuté plnenie</w:t>
            </w:r>
            <w:r>
              <w:rPr>
                <w:b/>
              </w:rPr>
              <w:t>, ktorá obsahuje položky podľa bodu 12 výzvy</w:t>
            </w:r>
            <w:r w:rsidR="00C10692" w:rsidRPr="00C10692">
              <w:rPr>
                <w:b/>
              </w:rPr>
              <w:t xml:space="preserve"> </w:t>
            </w:r>
          </w:p>
        </w:tc>
        <w:tc>
          <w:tcPr>
            <w:tcW w:w="3123" w:type="dxa"/>
            <w:shd w:val="clear" w:color="auto" w:fill="auto"/>
          </w:tcPr>
          <w:p w14:paraId="21723BD6" w14:textId="673B8829" w:rsidR="00376E59" w:rsidRPr="00372AD0" w:rsidRDefault="00376E59" w:rsidP="00D9292F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57189A58" w14:textId="5649FDF3" w:rsidR="00376E59" w:rsidRPr="00372AD0" w:rsidRDefault="00376E59" w:rsidP="00D9292F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376716" w:rsidRPr="002E78B2" w14:paraId="69F013D3" w14:textId="77777777" w:rsidTr="00A15262">
        <w:trPr>
          <w:trHeight w:val="1121"/>
        </w:trPr>
        <w:tc>
          <w:tcPr>
            <w:tcW w:w="3393" w:type="dxa"/>
            <w:gridSpan w:val="2"/>
            <w:shd w:val="clear" w:color="auto" w:fill="auto"/>
          </w:tcPr>
          <w:p w14:paraId="0507194F" w14:textId="77777777" w:rsidR="00372AD0" w:rsidRPr="00372AD0" w:rsidRDefault="00372AD0" w:rsidP="00B06E94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</w:p>
          <w:p w14:paraId="7C6297FA" w14:textId="77777777" w:rsidR="00372AD0" w:rsidRDefault="00372AD0" w:rsidP="00B06E94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  <w:r w:rsidRPr="00372AD0">
              <w:t>V ..................................</w:t>
            </w:r>
          </w:p>
          <w:p w14:paraId="2387A244" w14:textId="77777777" w:rsidR="00376E59" w:rsidRPr="00372AD0" w:rsidRDefault="00376E59" w:rsidP="00B06E94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</w:p>
          <w:p w14:paraId="6D6D5F6F" w14:textId="5FF862D0" w:rsidR="00376716" w:rsidRPr="00372AD0" w:rsidRDefault="00376716" w:rsidP="00376716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  <w:r>
              <w:t>dňa..................</w:t>
            </w:r>
          </w:p>
        </w:tc>
        <w:tc>
          <w:tcPr>
            <w:tcW w:w="3123" w:type="dxa"/>
            <w:shd w:val="clear" w:color="auto" w:fill="auto"/>
          </w:tcPr>
          <w:p w14:paraId="17F30ADB" w14:textId="77777777" w:rsidR="00372AD0" w:rsidRPr="00372AD0" w:rsidRDefault="00372AD0" w:rsidP="00B06E94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</w:p>
          <w:p w14:paraId="2568C12E" w14:textId="77777777" w:rsidR="00372AD0" w:rsidRDefault="00372AD0" w:rsidP="00B06E94">
            <w:pPr>
              <w:jc w:val="center"/>
              <w:rPr>
                <w:rFonts w:ascii="Times New Roman" w:hAnsi="Times New Roman"/>
              </w:rPr>
            </w:pPr>
            <w:r w:rsidRPr="00372AD0">
              <w:rPr>
                <w:rFonts w:ascii="Times New Roman" w:hAnsi="Times New Roman"/>
              </w:rPr>
              <w:t>Meno a priezvisko štatutára uchádzača alebo ním poverenej osoby</w:t>
            </w:r>
          </w:p>
          <w:p w14:paraId="61F42BD4" w14:textId="3EC7B736" w:rsidR="00376E59" w:rsidRPr="00372AD0" w:rsidRDefault="00376E59" w:rsidP="00B06E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</w:t>
            </w:r>
          </w:p>
        </w:tc>
        <w:tc>
          <w:tcPr>
            <w:tcW w:w="2410" w:type="dxa"/>
            <w:shd w:val="clear" w:color="auto" w:fill="auto"/>
          </w:tcPr>
          <w:p w14:paraId="6F424DA9" w14:textId="77777777" w:rsidR="00372AD0" w:rsidRPr="00372AD0" w:rsidRDefault="00372AD0" w:rsidP="00B06E94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</w:p>
          <w:p w14:paraId="0ECC609F" w14:textId="77777777" w:rsidR="00372AD0" w:rsidRDefault="00372AD0" w:rsidP="00B06E94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  <w:r w:rsidRPr="00372AD0">
              <w:t>Podpis</w:t>
            </w:r>
          </w:p>
          <w:p w14:paraId="51A36A9C" w14:textId="77777777" w:rsidR="00376E59" w:rsidRDefault="00376E59" w:rsidP="00B06E94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</w:p>
          <w:p w14:paraId="053DBB04" w14:textId="77777777" w:rsidR="00376E59" w:rsidRDefault="00376E59" w:rsidP="00B06E94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</w:p>
          <w:p w14:paraId="2C3C41DA" w14:textId="77777777" w:rsidR="00376E59" w:rsidRDefault="00376E59" w:rsidP="00B06E94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</w:p>
          <w:p w14:paraId="5DAA50F1" w14:textId="1EB700EB" w:rsidR="00376E59" w:rsidRPr="00372AD0" w:rsidRDefault="00376E59" w:rsidP="00B06E94">
            <w:pPr>
              <w:pStyle w:val="Hlavika"/>
              <w:tabs>
                <w:tab w:val="clear" w:pos="4536"/>
                <w:tab w:val="clear" w:pos="9072"/>
              </w:tabs>
              <w:jc w:val="center"/>
            </w:pPr>
            <w:r>
              <w:t>..........................</w:t>
            </w:r>
          </w:p>
        </w:tc>
      </w:tr>
    </w:tbl>
    <w:p w14:paraId="5AE6639B" w14:textId="6DA33599" w:rsidR="00A15262" w:rsidRPr="00A15262" w:rsidRDefault="00A15262" w:rsidP="00C1069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86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8"/>
        <w:gridCol w:w="1528"/>
      </w:tblGrid>
      <w:tr w:rsidR="009670F4" w14:paraId="0262BF05" w14:textId="77777777" w:rsidTr="00BC02FC">
        <w:trPr>
          <w:trHeight w:val="439"/>
        </w:trPr>
        <w:tc>
          <w:tcPr>
            <w:tcW w:w="9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AFA7" w14:textId="3E004AC1" w:rsidR="009670F4" w:rsidRPr="00BA5234" w:rsidRDefault="007A1ECC" w:rsidP="00BC02FC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9670F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670F4" w:rsidRPr="00BA5234">
              <w:rPr>
                <w:rFonts w:ascii="Times New Roman" w:hAnsi="Times New Roman" w:cs="Times New Roman"/>
                <w:b/>
                <w:bCs/>
              </w:rPr>
              <w:t xml:space="preserve">Jazyk, v ktorom možno predložiť ponuky </w:t>
            </w:r>
          </w:p>
          <w:p w14:paraId="712D5D07" w14:textId="77777777" w:rsidR="009670F4" w:rsidRPr="00BA5234" w:rsidRDefault="009670F4" w:rsidP="00BC02FC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 w:rsidRPr="00BA5234">
              <w:rPr>
                <w:rFonts w:ascii="Times New Roman" w:hAnsi="Times New Roman" w:cs="Times New Roman"/>
              </w:rPr>
              <w:t>Štátny jazyk, slovenský jazyk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56BAB1" w14:textId="77777777" w:rsidR="009670F4" w:rsidRDefault="009670F4" w:rsidP="00BC02FC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</w:p>
          <w:p w14:paraId="3E4520E5" w14:textId="09C8FB9C" w:rsidR="009670F4" w:rsidRPr="00BA5234" w:rsidRDefault="007A1ECC" w:rsidP="00BC02FC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9670F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670F4" w:rsidRPr="00BA5234">
              <w:rPr>
                <w:rFonts w:ascii="Times New Roman" w:hAnsi="Times New Roman" w:cs="Times New Roman"/>
                <w:b/>
                <w:bCs/>
              </w:rPr>
              <w:t xml:space="preserve">Minimálna lehota, počas ktorej sú ponuky uchádzačov viazané </w:t>
            </w:r>
          </w:p>
          <w:p w14:paraId="7D0BD01F" w14:textId="596DC261" w:rsidR="009670F4" w:rsidRPr="00BA5234" w:rsidRDefault="001B526E" w:rsidP="00BC02FC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 w:rsidRPr="007A1ECC">
              <w:rPr>
                <w:rFonts w:ascii="Times New Roman" w:hAnsi="Times New Roman" w:cs="Times New Roman"/>
              </w:rPr>
              <w:t>6</w:t>
            </w:r>
            <w:r w:rsidR="009670F4" w:rsidRPr="007A1ECC">
              <w:rPr>
                <w:rFonts w:ascii="Times New Roman" w:hAnsi="Times New Roman" w:cs="Times New Roman"/>
              </w:rPr>
              <w:t>0</w:t>
            </w:r>
            <w:r w:rsidR="009670F4" w:rsidRPr="00BA5234">
              <w:rPr>
                <w:rFonts w:ascii="Times New Roman" w:hAnsi="Times New Roman" w:cs="Times New Roman"/>
              </w:rPr>
              <w:t xml:space="preserve"> dní odo dňa </w:t>
            </w:r>
            <w:r w:rsidR="00874C10">
              <w:rPr>
                <w:rFonts w:ascii="Times New Roman" w:hAnsi="Times New Roman" w:cs="Times New Roman"/>
              </w:rPr>
              <w:t>uplynutia lehoty na predkladanie</w:t>
            </w:r>
            <w:r w:rsidR="009670F4" w:rsidRPr="00BA5234">
              <w:rPr>
                <w:rFonts w:ascii="Times New Roman" w:hAnsi="Times New Roman" w:cs="Times New Roman"/>
              </w:rPr>
              <w:t xml:space="preserve"> ponúk </w:t>
            </w:r>
          </w:p>
          <w:p w14:paraId="493C3AC9" w14:textId="77777777" w:rsidR="009670F4" w:rsidRPr="00BA5234" w:rsidRDefault="009670F4" w:rsidP="00BC02FC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</w:p>
          <w:p w14:paraId="26A7FEDF" w14:textId="5E87CEC5" w:rsidR="009670F4" w:rsidRPr="00BA5234" w:rsidRDefault="007A1ECC" w:rsidP="00BC02FC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9670F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670F4" w:rsidRPr="00BA5234">
              <w:rPr>
                <w:rFonts w:ascii="Times New Roman" w:hAnsi="Times New Roman" w:cs="Times New Roman"/>
                <w:b/>
                <w:bCs/>
              </w:rPr>
              <w:t xml:space="preserve">Zákazka sa týka projektu / programu financovaného z fondov EÚ </w:t>
            </w:r>
          </w:p>
          <w:p w14:paraId="15E9804A" w14:textId="26EB0BAF" w:rsidR="009670F4" w:rsidRDefault="009670F4" w:rsidP="00BC02FC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 w:rsidRPr="00EE5B73">
              <w:rPr>
                <w:rFonts w:ascii="Times New Roman" w:hAnsi="Times New Roman" w:cs="Times New Roman"/>
              </w:rPr>
              <w:t xml:space="preserve"> </w:t>
            </w:r>
            <w:r w:rsidR="001B526E">
              <w:rPr>
                <w:rFonts w:ascii="Times New Roman" w:hAnsi="Times New Roman" w:cs="Times New Roman"/>
              </w:rPr>
              <w:t>Áno</w:t>
            </w:r>
          </w:p>
          <w:p w14:paraId="0F076C0E" w14:textId="77777777" w:rsidR="00711543" w:rsidRDefault="00711543" w:rsidP="00BC02FC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</w:p>
          <w:p w14:paraId="2AC9075D" w14:textId="77777777" w:rsidR="00711543" w:rsidRPr="00E10C41" w:rsidRDefault="00711543" w:rsidP="00E27568">
            <w:pPr>
              <w:pStyle w:val="Default"/>
              <w:ind w:left="559"/>
              <w:jc w:val="both"/>
              <w:rPr>
                <w:rFonts w:ascii="Times New Roman" w:hAnsi="Times New Roman" w:cs="Times New Roman"/>
                <w:b/>
              </w:rPr>
            </w:pPr>
            <w:r w:rsidRPr="00E10C41">
              <w:rPr>
                <w:rFonts w:ascii="Times New Roman" w:hAnsi="Times New Roman" w:cs="Times New Roman"/>
                <w:b/>
              </w:rPr>
              <w:t>Príloha č. 1:</w:t>
            </w:r>
          </w:p>
          <w:p w14:paraId="7D2C500D" w14:textId="0614A0B4" w:rsidR="00711543" w:rsidRPr="00EE5B73" w:rsidRDefault="00711543" w:rsidP="00E27568">
            <w:pPr>
              <w:pStyle w:val="Default"/>
              <w:ind w:left="5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11543">
              <w:rPr>
                <w:rFonts w:ascii="Times New Roman" w:hAnsi="Times New Roman" w:cs="Times New Roman"/>
              </w:rPr>
              <w:t>enová kalkulácia obsahujúca položkovitý rozpočet za služby nájmu</w:t>
            </w:r>
          </w:p>
          <w:p w14:paraId="39EB511A" w14:textId="77777777" w:rsidR="009670F4" w:rsidRPr="00BA5234" w:rsidRDefault="009670F4" w:rsidP="00E27568">
            <w:pPr>
              <w:pStyle w:val="Default"/>
              <w:ind w:left="559"/>
              <w:jc w:val="both"/>
              <w:rPr>
                <w:rFonts w:ascii="Times New Roman" w:hAnsi="Times New Roman" w:cs="Times New Roman"/>
                <w:color w:val="1F497D"/>
              </w:rPr>
            </w:pPr>
          </w:p>
          <w:p w14:paraId="370EBF2A" w14:textId="04DEE73A" w:rsidR="00213FC4" w:rsidRPr="00E10C41" w:rsidRDefault="00213FC4" w:rsidP="00E27568">
            <w:pPr>
              <w:pStyle w:val="Default"/>
              <w:ind w:left="5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Príloha č. 2</w:t>
            </w:r>
            <w:r w:rsidRPr="00E10C41">
              <w:rPr>
                <w:rFonts w:ascii="Times New Roman" w:hAnsi="Times New Roman" w:cs="Times New Roman"/>
                <w:b/>
              </w:rPr>
              <w:t>:</w:t>
            </w:r>
          </w:p>
          <w:p w14:paraId="2916647A" w14:textId="6552A5B8" w:rsidR="00102DFE" w:rsidRDefault="00213FC4" w:rsidP="00E27568">
            <w:pPr>
              <w:pStyle w:val="Default"/>
              <w:ind w:left="559"/>
              <w:jc w:val="both"/>
              <w:rPr>
                <w:rFonts w:ascii="Times New Roman" w:hAnsi="Times New Roman" w:cs="Times New Roman"/>
              </w:rPr>
            </w:pPr>
            <w:r w:rsidRPr="00213FC4">
              <w:rPr>
                <w:rFonts w:ascii="Times New Roman" w:hAnsi="Times New Roman" w:cs="Times New Roman"/>
              </w:rPr>
              <w:t>„Podrobný opis ponúknutých priestorov a parkovacích miest“, „Technická a technologická špecifikácia ponúknutých priestorov a budovy“ a „Pôdorys rozmiestnenia miestností na jednotlivých podlažiach (tzv. floor plan)“</w:t>
            </w:r>
          </w:p>
          <w:p w14:paraId="3E6A2FEC" w14:textId="77777777" w:rsidR="00213FC4" w:rsidRDefault="00213FC4" w:rsidP="00E27568">
            <w:pPr>
              <w:pStyle w:val="Default"/>
              <w:ind w:left="559"/>
              <w:jc w:val="both"/>
              <w:rPr>
                <w:rFonts w:ascii="Times New Roman" w:hAnsi="Times New Roman" w:cs="Times New Roman"/>
              </w:rPr>
            </w:pPr>
          </w:p>
          <w:p w14:paraId="696B924F" w14:textId="112E8A0B" w:rsidR="00213FC4" w:rsidRPr="00E10C41" w:rsidRDefault="00213FC4" w:rsidP="00E27568">
            <w:pPr>
              <w:pStyle w:val="Default"/>
              <w:ind w:left="5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Príloha č. 3</w:t>
            </w:r>
            <w:r w:rsidRPr="00E10C41">
              <w:rPr>
                <w:rFonts w:ascii="Times New Roman" w:hAnsi="Times New Roman" w:cs="Times New Roman"/>
                <w:b/>
              </w:rPr>
              <w:t>:</w:t>
            </w:r>
          </w:p>
          <w:p w14:paraId="5ED8CE2B" w14:textId="73CE969C" w:rsidR="00213FC4" w:rsidRDefault="00213FC4" w:rsidP="00E27568">
            <w:pPr>
              <w:pStyle w:val="Default"/>
              <w:ind w:left="5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„Štandard budovy“</w:t>
            </w:r>
          </w:p>
          <w:p w14:paraId="10DD1545" w14:textId="517A3F95" w:rsidR="009670F4" w:rsidRDefault="009670F4" w:rsidP="007B437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C1A6" w14:textId="77777777" w:rsidR="009670F4" w:rsidRDefault="009670F4" w:rsidP="00BC02F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5F3F9DD" w14:textId="7CE11D91" w:rsidR="008A201B" w:rsidRPr="00CE1C13" w:rsidRDefault="008A201B" w:rsidP="008A201B">
      <w:pPr>
        <w:rPr>
          <w:rFonts w:ascii="Times New Roman" w:hAnsi="Times New Roman"/>
          <w:sz w:val="24"/>
          <w:szCs w:val="24"/>
        </w:rPr>
      </w:pPr>
    </w:p>
    <w:sectPr w:rsidR="008A201B" w:rsidRPr="00CE1C13" w:rsidSect="00B35717">
      <w:pgSz w:w="11906" w:h="16838"/>
      <w:pgMar w:top="720" w:right="234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93A4C" w14:textId="77777777" w:rsidR="005F0D53" w:rsidRDefault="005F0D53" w:rsidP="003C7EBC">
      <w:pPr>
        <w:spacing w:after="0" w:line="240" w:lineRule="auto"/>
      </w:pPr>
      <w:r>
        <w:separator/>
      </w:r>
    </w:p>
  </w:endnote>
  <w:endnote w:type="continuationSeparator" w:id="0">
    <w:p w14:paraId="136921B5" w14:textId="77777777" w:rsidR="005F0D53" w:rsidRDefault="005F0D53" w:rsidP="003C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D336" w14:textId="77777777" w:rsidR="005F0D53" w:rsidRDefault="005F0D53" w:rsidP="003C7EBC">
      <w:pPr>
        <w:spacing w:after="0" w:line="240" w:lineRule="auto"/>
      </w:pPr>
      <w:r>
        <w:separator/>
      </w:r>
    </w:p>
  </w:footnote>
  <w:footnote w:type="continuationSeparator" w:id="0">
    <w:p w14:paraId="650115DA" w14:textId="77777777" w:rsidR="005F0D53" w:rsidRDefault="005F0D53" w:rsidP="003C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06C"/>
    <w:multiLevelType w:val="hybridMultilevel"/>
    <w:tmpl w:val="EA4E55D0"/>
    <w:lvl w:ilvl="0" w:tplc="40CAD2A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60BF"/>
    <w:multiLevelType w:val="hybridMultilevel"/>
    <w:tmpl w:val="B02E593C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424242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72603"/>
    <w:multiLevelType w:val="hybridMultilevel"/>
    <w:tmpl w:val="0F5C9A44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62AEB"/>
    <w:multiLevelType w:val="hybridMultilevel"/>
    <w:tmpl w:val="064AB3A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E6A2D"/>
    <w:multiLevelType w:val="hybridMultilevel"/>
    <w:tmpl w:val="1122BCF2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955B1"/>
    <w:multiLevelType w:val="hybridMultilevel"/>
    <w:tmpl w:val="3C3C493E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D1766"/>
    <w:multiLevelType w:val="hybridMultilevel"/>
    <w:tmpl w:val="BC84A1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6C05"/>
    <w:multiLevelType w:val="hybridMultilevel"/>
    <w:tmpl w:val="711489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493B"/>
    <w:multiLevelType w:val="hybridMultilevel"/>
    <w:tmpl w:val="6C009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150DD"/>
    <w:multiLevelType w:val="hybridMultilevel"/>
    <w:tmpl w:val="050034AA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6A7175B"/>
    <w:multiLevelType w:val="hybridMultilevel"/>
    <w:tmpl w:val="9D00B8C0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424242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B0F87"/>
    <w:multiLevelType w:val="hybridMultilevel"/>
    <w:tmpl w:val="DCE022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56CB4"/>
    <w:multiLevelType w:val="hybridMultilevel"/>
    <w:tmpl w:val="D1CE49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6D31"/>
    <w:multiLevelType w:val="hybridMultilevel"/>
    <w:tmpl w:val="93DA90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55354"/>
    <w:multiLevelType w:val="hybridMultilevel"/>
    <w:tmpl w:val="5CE07456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EC"/>
    <w:rsid w:val="0002418C"/>
    <w:rsid w:val="00036C2D"/>
    <w:rsid w:val="000638B1"/>
    <w:rsid w:val="000819F0"/>
    <w:rsid w:val="00087472"/>
    <w:rsid w:val="000B63B7"/>
    <w:rsid w:val="000B7DB0"/>
    <w:rsid w:val="000C7308"/>
    <w:rsid w:val="00101318"/>
    <w:rsid w:val="00102DFE"/>
    <w:rsid w:val="00107B7F"/>
    <w:rsid w:val="00125869"/>
    <w:rsid w:val="00144D75"/>
    <w:rsid w:val="0017434E"/>
    <w:rsid w:val="00180CDD"/>
    <w:rsid w:val="001B526E"/>
    <w:rsid w:val="001C6DB9"/>
    <w:rsid w:val="001F62A6"/>
    <w:rsid w:val="001F703B"/>
    <w:rsid w:val="00213FC4"/>
    <w:rsid w:val="0027054F"/>
    <w:rsid w:val="00281516"/>
    <w:rsid w:val="002A6A81"/>
    <w:rsid w:val="002C2159"/>
    <w:rsid w:val="002E0716"/>
    <w:rsid w:val="002F0D30"/>
    <w:rsid w:val="002F5BDF"/>
    <w:rsid w:val="00301A89"/>
    <w:rsid w:val="0031266E"/>
    <w:rsid w:val="00330042"/>
    <w:rsid w:val="00332009"/>
    <w:rsid w:val="00372AD0"/>
    <w:rsid w:val="00374351"/>
    <w:rsid w:val="00376716"/>
    <w:rsid w:val="00376E59"/>
    <w:rsid w:val="00391FCD"/>
    <w:rsid w:val="00396099"/>
    <w:rsid w:val="003A4D7B"/>
    <w:rsid w:val="003C7EBC"/>
    <w:rsid w:val="003E3528"/>
    <w:rsid w:val="003E5B72"/>
    <w:rsid w:val="003F42EA"/>
    <w:rsid w:val="0043181B"/>
    <w:rsid w:val="0046585E"/>
    <w:rsid w:val="0048448E"/>
    <w:rsid w:val="004D33AB"/>
    <w:rsid w:val="004D3CA2"/>
    <w:rsid w:val="004D4713"/>
    <w:rsid w:val="004F097A"/>
    <w:rsid w:val="00520BDD"/>
    <w:rsid w:val="0052573F"/>
    <w:rsid w:val="0054204F"/>
    <w:rsid w:val="00565410"/>
    <w:rsid w:val="00586B92"/>
    <w:rsid w:val="005936EB"/>
    <w:rsid w:val="005C0B09"/>
    <w:rsid w:val="005D103D"/>
    <w:rsid w:val="005E330C"/>
    <w:rsid w:val="005F0D53"/>
    <w:rsid w:val="00602BBC"/>
    <w:rsid w:val="006062AE"/>
    <w:rsid w:val="00623BFA"/>
    <w:rsid w:val="0063765E"/>
    <w:rsid w:val="00644998"/>
    <w:rsid w:val="006603E6"/>
    <w:rsid w:val="00663045"/>
    <w:rsid w:val="00667478"/>
    <w:rsid w:val="006713CD"/>
    <w:rsid w:val="00685E13"/>
    <w:rsid w:val="006938D0"/>
    <w:rsid w:val="006A17F6"/>
    <w:rsid w:val="006D31B1"/>
    <w:rsid w:val="00711543"/>
    <w:rsid w:val="00712C21"/>
    <w:rsid w:val="00721048"/>
    <w:rsid w:val="00722CEC"/>
    <w:rsid w:val="00737694"/>
    <w:rsid w:val="00795A5A"/>
    <w:rsid w:val="007A1A8E"/>
    <w:rsid w:val="007A1ECC"/>
    <w:rsid w:val="007A5B28"/>
    <w:rsid w:val="007A65F2"/>
    <w:rsid w:val="007B0DE0"/>
    <w:rsid w:val="007B24FF"/>
    <w:rsid w:val="007B4378"/>
    <w:rsid w:val="007C44FE"/>
    <w:rsid w:val="007D201D"/>
    <w:rsid w:val="007E6E27"/>
    <w:rsid w:val="00802D36"/>
    <w:rsid w:val="00816DCC"/>
    <w:rsid w:val="00816F25"/>
    <w:rsid w:val="00820171"/>
    <w:rsid w:val="00825073"/>
    <w:rsid w:val="00832538"/>
    <w:rsid w:val="008379BB"/>
    <w:rsid w:val="008534B4"/>
    <w:rsid w:val="00872D6E"/>
    <w:rsid w:val="00874C10"/>
    <w:rsid w:val="008769DA"/>
    <w:rsid w:val="008778DE"/>
    <w:rsid w:val="00891766"/>
    <w:rsid w:val="008938BD"/>
    <w:rsid w:val="008A201B"/>
    <w:rsid w:val="008B7044"/>
    <w:rsid w:val="008C4D6E"/>
    <w:rsid w:val="008F2E3B"/>
    <w:rsid w:val="008F780E"/>
    <w:rsid w:val="00913B68"/>
    <w:rsid w:val="00930006"/>
    <w:rsid w:val="0094571F"/>
    <w:rsid w:val="009514A4"/>
    <w:rsid w:val="00963F35"/>
    <w:rsid w:val="00966E46"/>
    <w:rsid w:val="009670F4"/>
    <w:rsid w:val="00996DD2"/>
    <w:rsid w:val="009A1951"/>
    <w:rsid w:val="009E3898"/>
    <w:rsid w:val="00A05234"/>
    <w:rsid w:val="00A15262"/>
    <w:rsid w:val="00A50448"/>
    <w:rsid w:val="00A653C7"/>
    <w:rsid w:val="00A767B6"/>
    <w:rsid w:val="00A83BCF"/>
    <w:rsid w:val="00A9123C"/>
    <w:rsid w:val="00AA6B5D"/>
    <w:rsid w:val="00AD57E5"/>
    <w:rsid w:val="00AE4A54"/>
    <w:rsid w:val="00AF1D6E"/>
    <w:rsid w:val="00B111C5"/>
    <w:rsid w:val="00B21E11"/>
    <w:rsid w:val="00B221F0"/>
    <w:rsid w:val="00B23280"/>
    <w:rsid w:val="00B33E39"/>
    <w:rsid w:val="00B35717"/>
    <w:rsid w:val="00B4026C"/>
    <w:rsid w:val="00B4699F"/>
    <w:rsid w:val="00B54B0A"/>
    <w:rsid w:val="00B671DD"/>
    <w:rsid w:val="00B86D00"/>
    <w:rsid w:val="00BA01B5"/>
    <w:rsid w:val="00BA27D9"/>
    <w:rsid w:val="00BA35BD"/>
    <w:rsid w:val="00BA630F"/>
    <w:rsid w:val="00BB6B29"/>
    <w:rsid w:val="00BC07AE"/>
    <w:rsid w:val="00BE5119"/>
    <w:rsid w:val="00C10692"/>
    <w:rsid w:val="00C131AB"/>
    <w:rsid w:val="00C32957"/>
    <w:rsid w:val="00C60E9D"/>
    <w:rsid w:val="00C7313A"/>
    <w:rsid w:val="00C85B2C"/>
    <w:rsid w:val="00C94452"/>
    <w:rsid w:val="00C97838"/>
    <w:rsid w:val="00CB28E9"/>
    <w:rsid w:val="00CE1C13"/>
    <w:rsid w:val="00CF03BA"/>
    <w:rsid w:val="00D01E14"/>
    <w:rsid w:val="00D01E9F"/>
    <w:rsid w:val="00D11647"/>
    <w:rsid w:val="00D12F85"/>
    <w:rsid w:val="00D21EFD"/>
    <w:rsid w:val="00D2656B"/>
    <w:rsid w:val="00D424BC"/>
    <w:rsid w:val="00D55B63"/>
    <w:rsid w:val="00D657EE"/>
    <w:rsid w:val="00D723A2"/>
    <w:rsid w:val="00D74DD1"/>
    <w:rsid w:val="00D80055"/>
    <w:rsid w:val="00D9292F"/>
    <w:rsid w:val="00DB4C33"/>
    <w:rsid w:val="00DD082B"/>
    <w:rsid w:val="00DD1E89"/>
    <w:rsid w:val="00DF2313"/>
    <w:rsid w:val="00DF2FDE"/>
    <w:rsid w:val="00DF7E3E"/>
    <w:rsid w:val="00DF7EAF"/>
    <w:rsid w:val="00E02349"/>
    <w:rsid w:val="00E10C41"/>
    <w:rsid w:val="00E15DE0"/>
    <w:rsid w:val="00E23903"/>
    <w:rsid w:val="00E27568"/>
    <w:rsid w:val="00E32B58"/>
    <w:rsid w:val="00E717B4"/>
    <w:rsid w:val="00E9616F"/>
    <w:rsid w:val="00EC6C5B"/>
    <w:rsid w:val="00ED3A03"/>
    <w:rsid w:val="00EF7B56"/>
    <w:rsid w:val="00F02628"/>
    <w:rsid w:val="00F035F1"/>
    <w:rsid w:val="00F23D4F"/>
    <w:rsid w:val="00F51A05"/>
    <w:rsid w:val="00F57CB4"/>
    <w:rsid w:val="00F838C8"/>
    <w:rsid w:val="00FA55EB"/>
    <w:rsid w:val="00FD23E1"/>
    <w:rsid w:val="00FE1EB3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B3B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CE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47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44D7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670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0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0F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0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0F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0F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basedOn w:val="Normlny"/>
    <w:rsid w:val="009670F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372A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372A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3C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EBC"/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22"/>
    <w:qFormat/>
    <w:rsid w:val="001B5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estak@vicepremier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klucarova@vicepremier.g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er.sestak@vicepremier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cepremier.g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14C3-18FF-4030-BEC4-1F46D324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2018-04-16T06:52:00Z</dcterms:created>
  <dcterms:modified xsi:type="dcterms:W3CDTF">2018-04-17T06:18:00Z</dcterms:modified>
</cp:coreProperties>
</file>